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BAA1D" w14:textId="77FFEECC" w:rsidR="007B3485" w:rsidRPr="00DB7234" w:rsidRDefault="00DC30AC" w:rsidP="00626FB1">
      <w:pPr>
        <w:spacing w:line="281" w:lineRule="auto"/>
        <w:jc w:val="both"/>
        <w:rPr>
          <w:rFonts w:ascii="Arial" w:hAnsi="Arial" w:cs="Arial"/>
          <w:i/>
          <w:sz w:val="18"/>
          <w:szCs w:val="18"/>
          <w:lang w:val="de-DE"/>
        </w:rPr>
      </w:pPr>
      <w:r>
        <w:rPr>
          <w:rFonts w:ascii="Arial" w:hAnsi="Arial" w:cs="Arial"/>
          <w:i/>
          <w:sz w:val="18"/>
          <w:szCs w:val="18"/>
          <w:lang w:val="de-DE"/>
        </w:rPr>
        <w:t xml:space="preserve">Weltpremiere: PH </w:t>
      </w:r>
      <w:proofErr w:type="spellStart"/>
      <w:r>
        <w:rPr>
          <w:rFonts w:ascii="Arial" w:hAnsi="Arial" w:cs="Arial"/>
          <w:i/>
          <w:sz w:val="18"/>
          <w:szCs w:val="18"/>
          <w:lang w:val="de-DE"/>
        </w:rPr>
        <w:t>Cell</w:t>
      </w:r>
      <w:proofErr w:type="spellEnd"/>
      <w:r>
        <w:rPr>
          <w:rFonts w:ascii="Arial" w:hAnsi="Arial" w:cs="Arial"/>
          <w:i/>
          <w:sz w:val="18"/>
          <w:szCs w:val="18"/>
          <w:lang w:val="de-DE"/>
        </w:rPr>
        <w:t xml:space="preserve"> Twin</w:t>
      </w:r>
    </w:p>
    <w:p w14:paraId="6D92D912" w14:textId="1E36FDE8" w:rsidR="00903FC7" w:rsidRPr="00C87CB3" w:rsidRDefault="00DC30AC" w:rsidP="00626FB1">
      <w:pPr>
        <w:spacing w:line="281" w:lineRule="auto"/>
        <w:jc w:val="both"/>
        <w:rPr>
          <w:rFonts w:ascii="Arial" w:hAnsi="Arial" w:cs="Arial"/>
          <w:b/>
          <w:sz w:val="24"/>
          <w:lang w:val="de-DE"/>
        </w:rPr>
      </w:pPr>
      <w:r>
        <w:rPr>
          <w:rFonts w:ascii="Arial" w:hAnsi="Arial" w:cs="Arial"/>
          <w:b/>
          <w:sz w:val="24"/>
          <w:lang w:val="de-DE"/>
        </w:rPr>
        <w:t>Mit de</w:t>
      </w:r>
      <w:r w:rsidR="002F2EDB">
        <w:rPr>
          <w:rFonts w:ascii="Arial" w:hAnsi="Arial" w:cs="Arial"/>
          <w:b/>
          <w:sz w:val="24"/>
          <w:lang w:val="de-DE"/>
        </w:rPr>
        <w:t>r</w:t>
      </w:r>
      <w:r>
        <w:rPr>
          <w:rFonts w:ascii="Arial" w:hAnsi="Arial" w:cs="Arial"/>
          <w:b/>
          <w:sz w:val="24"/>
          <w:lang w:val="de-DE"/>
        </w:rPr>
        <w:t xml:space="preserve"> ergonomischen Twin</w:t>
      </w:r>
      <w:r w:rsidR="002F2EDB">
        <w:rPr>
          <w:rFonts w:ascii="Arial" w:hAnsi="Arial" w:cs="Arial"/>
          <w:b/>
          <w:sz w:val="24"/>
          <w:lang w:val="de-DE"/>
        </w:rPr>
        <w:t xml:space="preserve"> Lösung</w:t>
      </w:r>
      <w:r>
        <w:rPr>
          <w:rFonts w:ascii="Arial" w:hAnsi="Arial" w:cs="Arial"/>
          <w:b/>
          <w:sz w:val="24"/>
          <w:lang w:val="de-DE"/>
        </w:rPr>
        <w:t xml:space="preserve"> ermöglicht DMG MORI eine Automation </w:t>
      </w:r>
      <w:r w:rsidR="00876228">
        <w:rPr>
          <w:rFonts w:ascii="Arial" w:hAnsi="Arial" w:cs="Arial"/>
          <w:b/>
          <w:sz w:val="24"/>
          <w:lang w:val="de-DE"/>
        </w:rPr>
        <w:t>für</w:t>
      </w:r>
      <w:r>
        <w:rPr>
          <w:rFonts w:ascii="Arial" w:hAnsi="Arial" w:cs="Arial"/>
          <w:b/>
          <w:sz w:val="24"/>
          <w:lang w:val="de-DE"/>
        </w:rPr>
        <w:t xml:space="preserve"> zwei Bearbeitungszentren.</w:t>
      </w:r>
    </w:p>
    <w:p w14:paraId="293BFCD8" w14:textId="77777777" w:rsidR="00C87CB3" w:rsidRPr="00DB7234" w:rsidRDefault="00C87CB3" w:rsidP="00626FB1">
      <w:pPr>
        <w:spacing w:line="281" w:lineRule="auto"/>
        <w:jc w:val="both"/>
        <w:rPr>
          <w:rFonts w:ascii="Arial" w:hAnsi="Arial" w:cs="Arial"/>
          <w:lang w:val="de-DE"/>
        </w:rPr>
      </w:pPr>
    </w:p>
    <w:p w14:paraId="77706393" w14:textId="7EB09A61" w:rsidR="003822AD" w:rsidRPr="008D661D" w:rsidRDefault="002F2EDB" w:rsidP="003822AD">
      <w:pPr>
        <w:spacing w:line="280" w:lineRule="auto"/>
        <w:jc w:val="both"/>
        <w:rPr>
          <w:rFonts w:ascii="Arial" w:hAnsi="Arial" w:cs="Arial"/>
          <w:b/>
          <w:sz w:val="28"/>
          <w:lang w:val="de-DE"/>
        </w:rPr>
      </w:pPr>
      <w:r>
        <w:rPr>
          <w:rFonts w:ascii="Arial" w:hAnsi="Arial" w:cs="Arial"/>
          <w:b/>
          <w:sz w:val="28"/>
          <w:lang w:val="de-DE"/>
        </w:rPr>
        <w:t xml:space="preserve">PH </w:t>
      </w:r>
      <w:proofErr w:type="spellStart"/>
      <w:r>
        <w:rPr>
          <w:rFonts w:ascii="Arial" w:hAnsi="Arial" w:cs="Arial"/>
          <w:b/>
          <w:sz w:val="28"/>
          <w:lang w:val="de-DE"/>
        </w:rPr>
        <w:t>Cell</w:t>
      </w:r>
      <w:proofErr w:type="spellEnd"/>
      <w:r>
        <w:rPr>
          <w:rFonts w:ascii="Arial" w:hAnsi="Arial" w:cs="Arial"/>
          <w:b/>
          <w:sz w:val="28"/>
          <w:lang w:val="de-DE"/>
        </w:rPr>
        <w:t xml:space="preserve"> Twin: Modulares und k</w:t>
      </w:r>
      <w:r w:rsidR="00DC30AC">
        <w:rPr>
          <w:rFonts w:ascii="Arial" w:hAnsi="Arial" w:cs="Arial"/>
          <w:b/>
          <w:sz w:val="28"/>
          <w:lang w:val="de-DE"/>
        </w:rPr>
        <w:t>ompaktes Paletten</w:t>
      </w:r>
      <w:r w:rsidR="001478D6">
        <w:rPr>
          <w:rFonts w:ascii="Arial" w:hAnsi="Arial" w:cs="Arial"/>
          <w:b/>
          <w:sz w:val="28"/>
          <w:lang w:val="de-DE"/>
        </w:rPr>
        <w:t>-H</w:t>
      </w:r>
      <w:r w:rsidR="00DC30AC">
        <w:rPr>
          <w:rFonts w:ascii="Arial" w:hAnsi="Arial" w:cs="Arial"/>
          <w:b/>
          <w:sz w:val="28"/>
          <w:lang w:val="de-DE"/>
        </w:rPr>
        <w:t>andling für zwei Maschinen</w:t>
      </w:r>
    </w:p>
    <w:p w14:paraId="4DEE09F8" w14:textId="77777777" w:rsidR="00BE3DF0" w:rsidRPr="00DB7234" w:rsidRDefault="00BE3DF0" w:rsidP="00BE3DF0">
      <w:pPr>
        <w:spacing w:line="281" w:lineRule="auto"/>
        <w:jc w:val="both"/>
        <w:rPr>
          <w:rFonts w:ascii="Arial" w:hAnsi="Arial" w:cs="Arial"/>
          <w:lang w:val="de-DE"/>
        </w:rPr>
      </w:pPr>
    </w:p>
    <w:p w14:paraId="68E81856" w14:textId="23281A1F" w:rsidR="009A4E1F" w:rsidRPr="00C87CB3" w:rsidRDefault="00951FDC" w:rsidP="00562520">
      <w:pPr>
        <w:spacing w:line="281" w:lineRule="auto"/>
        <w:jc w:val="both"/>
        <w:rPr>
          <w:rFonts w:ascii="Arial" w:hAnsi="Arial" w:cs="Arial"/>
          <w:i/>
          <w:lang w:val="de-DE"/>
        </w:rPr>
      </w:pPr>
      <w:r>
        <w:rPr>
          <w:rFonts w:ascii="Arial" w:hAnsi="Arial" w:cs="Arial"/>
          <w:i/>
          <w:lang w:val="de-DE"/>
        </w:rPr>
        <w:t>In der Fertigung von kleinen Losgrößen haben sich d</w:t>
      </w:r>
      <w:r w:rsidR="00DC30AC">
        <w:rPr>
          <w:rFonts w:ascii="Arial" w:hAnsi="Arial" w:cs="Arial"/>
          <w:i/>
          <w:lang w:val="de-DE"/>
        </w:rPr>
        <w:t>as PH </w:t>
      </w:r>
      <w:proofErr w:type="spellStart"/>
      <w:r w:rsidR="00DC30AC">
        <w:rPr>
          <w:rFonts w:ascii="Arial" w:hAnsi="Arial" w:cs="Arial"/>
          <w:i/>
          <w:lang w:val="de-DE"/>
        </w:rPr>
        <w:t>Cell</w:t>
      </w:r>
      <w:proofErr w:type="spellEnd"/>
      <w:r w:rsidR="00DC30AC">
        <w:rPr>
          <w:rFonts w:ascii="Arial" w:hAnsi="Arial" w:cs="Arial"/>
          <w:i/>
          <w:lang w:val="de-DE"/>
        </w:rPr>
        <w:t xml:space="preserve"> 300 </w:t>
      </w:r>
      <w:r>
        <w:rPr>
          <w:rFonts w:ascii="Arial" w:hAnsi="Arial" w:cs="Arial"/>
          <w:i/>
          <w:lang w:val="de-DE"/>
        </w:rPr>
        <w:t>und</w:t>
      </w:r>
      <w:r w:rsidR="00DC30AC">
        <w:rPr>
          <w:rFonts w:ascii="Arial" w:hAnsi="Arial" w:cs="Arial"/>
          <w:i/>
          <w:lang w:val="de-DE"/>
        </w:rPr>
        <w:t xml:space="preserve"> das PH </w:t>
      </w:r>
      <w:proofErr w:type="spellStart"/>
      <w:r w:rsidR="00DC30AC">
        <w:rPr>
          <w:rFonts w:ascii="Arial" w:hAnsi="Arial" w:cs="Arial"/>
          <w:i/>
          <w:lang w:val="de-DE"/>
        </w:rPr>
        <w:t>Cell</w:t>
      </w:r>
      <w:proofErr w:type="spellEnd"/>
      <w:r w:rsidR="00DC30AC">
        <w:rPr>
          <w:rFonts w:ascii="Arial" w:hAnsi="Arial" w:cs="Arial"/>
          <w:i/>
          <w:lang w:val="de-DE"/>
        </w:rPr>
        <w:t xml:space="preserve"> </w:t>
      </w:r>
      <w:r w:rsidR="00876228">
        <w:rPr>
          <w:rFonts w:ascii="Arial" w:hAnsi="Arial" w:cs="Arial"/>
          <w:i/>
          <w:lang w:val="de-DE"/>
        </w:rPr>
        <w:t>2</w:t>
      </w:r>
      <w:r w:rsidR="00DC30AC">
        <w:rPr>
          <w:rFonts w:ascii="Arial" w:hAnsi="Arial" w:cs="Arial"/>
          <w:i/>
          <w:lang w:val="de-DE"/>
        </w:rPr>
        <w:t xml:space="preserve">000 </w:t>
      </w:r>
      <w:r>
        <w:rPr>
          <w:rFonts w:ascii="Arial" w:hAnsi="Arial" w:cs="Arial"/>
          <w:i/>
          <w:lang w:val="de-DE"/>
        </w:rPr>
        <w:t xml:space="preserve">von DMG MORI durch ihr hohes Maß an Flexibilität und ihre einfache Bedienung </w:t>
      </w:r>
      <w:r w:rsidR="00DC30AC">
        <w:rPr>
          <w:rFonts w:ascii="Arial" w:hAnsi="Arial" w:cs="Arial"/>
          <w:i/>
          <w:lang w:val="de-DE"/>
        </w:rPr>
        <w:t>bewährt. Mit de</w:t>
      </w:r>
      <w:r w:rsidR="00BE748D">
        <w:rPr>
          <w:rFonts w:ascii="Arial" w:hAnsi="Arial" w:cs="Arial"/>
          <w:i/>
          <w:lang w:val="de-DE"/>
        </w:rPr>
        <w:t xml:space="preserve">r Weltpremiere des </w:t>
      </w:r>
      <w:r w:rsidR="00DC30AC">
        <w:rPr>
          <w:rFonts w:ascii="Arial" w:hAnsi="Arial" w:cs="Arial"/>
          <w:i/>
          <w:lang w:val="de-DE"/>
        </w:rPr>
        <w:t>PH </w:t>
      </w:r>
      <w:proofErr w:type="spellStart"/>
      <w:r w:rsidR="00DC30AC">
        <w:rPr>
          <w:rFonts w:ascii="Arial" w:hAnsi="Arial" w:cs="Arial"/>
          <w:i/>
          <w:lang w:val="de-DE"/>
        </w:rPr>
        <w:t>Cell</w:t>
      </w:r>
      <w:proofErr w:type="spellEnd"/>
      <w:r w:rsidR="00DC30AC">
        <w:rPr>
          <w:rFonts w:ascii="Arial" w:hAnsi="Arial" w:cs="Arial"/>
          <w:i/>
          <w:lang w:val="de-DE"/>
        </w:rPr>
        <w:t xml:space="preserve"> Twin </w:t>
      </w:r>
      <w:r>
        <w:rPr>
          <w:rFonts w:ascii="Arial" w:hAnsi="Arial" w:cs="Arial"/>
          <w:i/>
          <w:lang w:val="de-DE"/>
        </w:rPr>
        <w:t>erweitert der Werkzeugmaschinenhersteller</w:t>
      </w:r>
      <w:r w:rsidR="00DC30AC">
        <w:rPr>
          <w:rFonts w:ascii="Arial" w:hAnsi="Arial" w:cs="Arial"/>
          <w:i/>
          <w:lang w:val="de-DE"/>
        </w:rPr>
        <w:t xml:space="preserve"> nun das Angebot seiner kompakten und modularen Paletten-Handlings. Die konsequente Weiterentwicklung des erfolgreichen Konzepts ist darauf ausgelegt, zwei Bearbeitungszentren flexibel zu automatisieren. </w:t>
      </w:r>
      <w:r>
        <w:rPr>
          <w:rFonts w:ascii="Arial" w:hAnsi="Arial" w:cs="Arial"/>
          <w:i/>
          <w:lang w:val="de-DE"/>
        </w:rPr>
        <w:t>Sie</w:t>
      </w:r>
      <w:r w:rsidR="00DC30AC">
        <w:rPr>
          <w:rFonts w:ascii="Arial" w:hAnsi="Arial" w:cs="Arial"/>
          <w:i/>
          <w:lang w:val="de-DE"/>
        </w:rPr>
        <w:t xml:space="preserve"> bietet je nach </w:t>
      </w:r>
      <w:r>
        <w:rPr>
          <w:rFonts w:ascii="Arial" w:hAnsi="Arial" w:cs="Arial"/>
          <w:i/>
          <w:lang w:val="de-DE"/>
        </w:rPr>
        <w:t>Auslegung des Speichers</w:t>
      </w:r>
      <w:r w:rsidR="00DC30AC">
        <w:rPr>
          <w:rFonts w:ascii="Arial" w:hAnsi="Arial" w:cs="Arial"/>
          <w:i/>
          <w:lang w:val="de-DE"/>
        </w:rPr>
        <w:t xml:space="preserve"> Platz für bis zu 30</w:t>
      </w:r>
      <w:r>
        <w:rPr>
          <w:rFonts w:ascii="Arial" w:hAnsi="Arial" w:cs="Arial"/>
          <w:i/>
          <w:lang w:val="de-DE"/>
        </w:rPr>
        <w:t> </w:t>
      </w:r>
      <w:r w:rsidR="00DC30AC">
        <w:rPr>
          <w:rFonts w:ascii="Arial" w:hAnsi="Arial" w:cs="Arial"/>
          <w:i/>
          <w:lang w:val="de-DE"/>
        </w:rPr>
        <w:t>Paletten. Das PH </w:t>
      </w:r>
      <w:proofErr w:type="spellStart"/>
      <w:r w:rsidR="00DC30AC">
        <w:rPr>
          <w:rFonts w:ascii="Arial" w:hAnsi="Arial" w:cs="Arial"/>
          <w:i/>
          <w:lang w:val="de-DE"/>
        </w:rPr>
        <w:t>Cell</w:t>
      </w:r>
      <w:proofErr w:type="spellEnd"/>
      <w:r w:rsidR="00DC30AC">
        <w:rPr>
          <w:rFonts w:ascii="Arial" w:hAnsi="Arial" w:cs="Arial"/>
          <w:i/>
          <w:lang w:val="de-DE"/>
        </w:rPr>
        <w:t xml:space="preserve"> Twin ist mit diversen Modellen der DMU </w:t>
      </w:r>
      <w:proofErr w:type="spellStart"/>
      <w:r w:rsidR="00DC30AC">
        <w:rPr>
          <w:rFonts w:ascii="Arial" w:hAnsi="Arial" w:cs="Arial"/>
          <w:i/>
          <w:lang w:val="de-DE"/>
        </w:rPr>
        <w:t>monoBLOCK</w:t>
      </w:r>
      <w:proofErr w:type="spellEnd"/>
      <w:r w:rsidR="00DC30AC">
        <w:rPr>
          <w:rFonts w:ascii="Arial" w:hAnsi="Arial" w:cs="Arial"/>
          <w:i/>
          <w:lang w:val="de-DE"/>
        </w:rPr>
        <w:t xml:space="preserve">, DMU H </w:t>
      </w:r>
      <w:proofErr w:type="spellStart"/>
      <w:r w:rsidR="00DC30AC">
        <w:rPr>
          <w:rFonts w:ascii="Arial" w:hAnsi="Arial" w:cs="Arial"/>
          <w:i/>
          <w:lang w:val="de-DE"/>
        </w:rPr>
        <w:t>monoBLOCK</w:t>
      </w:r>
      <w:proofErr w:type="spellEnd"/>
      <w:r w:rsidR="00DC30AC">
        <w:rPr>
          <w:rFonts w:ascii="Arial" w:hAnsi="Arial" w:cs="Arial"/>
          <w:i/>
          <w:lang w:val="de-DE"/>
        </w:rPr>
        <w:t xml:space="preserve"> und DMU </w:t>
      </w:r>
      <w:proofErr w:type="spellStart"/>
      <w:r w:rsidR="00DC30AC">
        <w:rPr>
          <w:rFonts w:ascii="Arial" w:hAnsi="Arial" w:cs="Arial"/>
          <w:i/>
          <w:lang w:val="de-DE"/>
        </w:rPr>
        <w:t>eVo</w:t>
      </w:r>
      <w:proofErr w:type="spellEnd"/>
      <w:r w:rsidR="00DC30AC">
        <w:rPr>
          <w:rFonts w:ascii="Arial" w:hAnsi="Arial" w:cs="Arial"/>
          <w:i/>
          <w:lang w:val="de-DE"/>
        </w:rPr>
        <w:t xml:space="preserve"> Baureihen sowie mit der DMU 50 und </w:t>
      </w:r>
      <w:r w:rsidR="009B79F5">
        <w:rPr>
          <w:rFonts w:ascii="Arial" w:hAnsi="Arial" w:cs="Arial"/>
          <w:i/>
          <w:lang w:val="de-DE"/>
        </w:rPr>
        <w:t>der CMX U Serie kompatibel.</w:t>
      </w:r>
      <w:r>
        <w:rPr>
          <w:rFonts w:ascii="Arial" w:hAnsi="Arial" w:cs="Arial"/>
          <w:i/>
          <w:lang w:val="de-DE"/>
        </w:rPr>
        <w:t xml:space="preserve"> Sowohl das Paletten-Handling selbst als auch die zweite Maschine sind nachrüstbar.</w:t>
      </w:r>
    </w:p>
    <w:p w14:paraId="1E9D10F9" w14:textId="77777777" w:rsidR="009A4E1F" w:rsidRDefault="009A4E1F" w:rsidP="00562520">
      <w:pPr>
        <w:spacing w:line="281" w:lineRule="auto"/>
        <w:jc w:val="both"/>
        <w:rPr>
          <w:rFonts w:ascii="Arial" w:hAnsi="Arial" w:cs="Arial"/>
          <w:lang w:val="de-DE"/>
        </w:rPr>
      </w:pPr>
    </w:p>
    <w:p w14:paraId="3F9CE48F" w14:textId="5F3AE455" w:rsidR="009A4E1F" w:rsidRDefault="00951FDC" w:rsidP="00562520">
      <w:pPr>
        <w:spacing w:line="281" w:lineRule="auto"/>
        <w:jc w:val="both"/>
        <w:rPr>
          <w:rFonts w:ascii="Arial" w:hAnsi="Arial" w:cs="Arial"/>
          <w:lang w:val="de-DE"/>
        </w:rPr>
      </w:pPr>
      <w:r>
        <w:rPr>
          <w:rFonts w:ascii="Arial" w:hAnsi="Arial" w:cs="Arial"/>
          <w:lang w:val="de-DE"/>
        </w:rPr>
        <w:t>Automationslösungen reduzieren den personellen Aufwand in den Nebenzeiten und dehnen die Produktionskapazität aus auf mannlose Nacht- und Wochenendschichten. Vor dem Hintergrund der zunehmenden Bauteilvarianz und klei</w:t>
      </w:r>
      <w:r w:rsidR="00EE7A59">
        <w:rPr>
          <w:rFonts w:ascii="Arial" w:hAnsi="Arial" w:cs="Arial"/>
          <w:lang w:val="de-DE"/>
        </w:rPr>
        <w:t>nerer Losgrößen sind insbesondere flexible Automationskonzepte gefragt. Genau diese Anforderung erfüllt DMG MORI mit den Paletten-Handlings der PH </w:t>
      </w:r>
      <w:proofErr w:type="spellStart"/>
      <w:r w:rsidR="00EE7A59">
        <w:rPr>
          <w:rFonts w:ascii="Arial" w:hAnsi="Arial" w:cs="Arial"/>
          <w:lang w:val="de-DE"/>
        </w:rPr>
        <w:t>Cell</w:t>
      </w:r>
      <w:proofErr w:type="spellEnd"/>
      <w:r w:rsidR="00EE7A59">
        <w:rPr>
          <w:rFonts w:ascii="Arial" w:hAnsi="Arial" w:cs="Arial"/>
          <w:lang w:val="de-DE"/>
        </w:rPr>
        <w:t xml:space="preserve"> Baureihe, die ab sofort auch eine Lösung für zwei Maschinen beinhaltet – das PH </w:t>
      </w:r>
      <w:proofErr w:type="spellStart"/>
      <w:r w:rsidR="00EE7A59">
        <w:rPr>
          <w:rFonts w:ascii="Arial" w:hAnsi="Arial" w:cs="Arial"/>
          <w:lang w:val="de-DE"/>
        </w:rPr>
        <w:t>Cell</w:t>
      </w:r>
      <w:proofErr w:type="spellEnd"/>
      <w:r w:rsidR="00EE7A59">
        <w:rPr>
          <w:rFonts w:ascii="Arial" w:hAnsi="Arial" w:cs="Arial"/>
          <w:lang w:val="de-DE"/>
        </w:rPr>
        <w:t> Twin.</w:t>
      </w:r>
    </w:p>
    <w:p w14:paraId="64C1EE09" w14:textId="77777777" w:rsidR="00EE7A59" w:rsidRDefault="00EE7A59" w:rsidP="00562520">
      <w:pPr>
        <w:spacing w:line="281" w:lineRule="auto"/>
        <w:jc w:val="both"/>
        <w:rPr>
          <w:rFonts w:ascii="Arial" w:hAnsi="Arial" w:cs="Arial"/>
          <w:lang w:val="de-DE"/>
        </w:rPr>
      </w:pPr>
    </w:p>
    <w:p w14:paraId="69CD5A6A" w14:textId="0E92C1D0" w:rsidR="00EE7A59" w:rsidRPr="00EE7A59" w:rsidRDefault="00EE7A59" w:rsidP="00562520">
      <w:pPr>
        <w:spacing w:line="281" w:lineRule="auto"/>
        <w:jc w:val="both"/>
        <w:rPr>
          <w:rFonts w:ascii="Arial" w:hAnsi="Arial" w:cs="Arial"/>
          <w:b/>
          <w:lang w:val="de-DE"/>
        </w:rPr>
      </w:pPr>
      <w:r w:rsidRPr="00EE7A59">
        <w:rPr>
          <w:rFonts w:ascii="Arial" w:hAnsi="Arial" w:cs="Arial"/>
          <w:b/>
          <w:lang w:val="de-DE"/>
        </w:rPr>
        <w:t>Modularer Aufbau für individuelle Speicherauslegung</w:t>
      </w:r>
    </w:p>
    <w:p w14:paraId="06127EAF" w14:textId="71567462" w:rsidR="00EE7A59" w:rsidRDefault="00EE7A59" w:rsidP="00562520">
      <w:pPr>
        <w:spacing w:line="281" w:lineRule="auto"/>
        <w:jc w:val="both"/>
        <w:rPr>
          <w:rFonts w:ascii="Arial" w:hAnsi="Arial" w:cs="Arial"/>
          <w:lang w:val="de-DE"/>
        </w:rPr>
      </w:pPr>
      <w:r>
        <w:rPr>
          <w:rFonts w:ascii="Arial" w:hAnsi="Arial" w:cs="Arial"/>
          <w:lang w:val="de-DE"/>
        </w:rPr>
        <w:t>Das PH </w:t>
      </w:r>
      <w:proofErr w:type="spellStart"/>
      <w:r>
        <w:rPr>
          <w:rFonts w:ascii="Arial" w:hAnsi="Arial" w:cs="Arial"/>
          <w:lang w:val="de-DE"/>
        </w:rPr>
        <w:t>Cell</w:t>
      </w:r>
      <w:proofErr w:type="spellEnd"/>
      <w:r>
        <w:rPr>
          <w:rFonts w:ascii="Arial" w:hAnsi="Arial" w:cs="Arial"/>
          <w:lang w:val="de-DE"/>
        </w:rPr>
        <w:t xml:space="preserve"> Twin lässt sich mit bis zu 30 Paletten der Größe 320 x 320 mm bestücken. Bei größeren Paletten mit 400 x 400 mm oder 500 x 500 mm sind es 24 und 18 Palettenplätze. Auch unterschiedliche Größen lassen sich in dem System kombinieren. </w:t>
      </w:r>
      <w:r w:rsidR="00B440FA">
        <w:rPr>
          <w:rFonts w:ascii="Arial" w:hAnsi="Arial" w:cs="Arial"/>
          <w:lang w:val="de-DE"/>
        </w:rPr>
        <w:t xml:space="preserve">Die Paletten sind zweireihig angeordnet, sodass die Automation sehr kompakt ist. </w:t>
      </w:r>
      <w:r>
        <w:rPr>
          <w:rFonts w:ascii="Arial" w:hAnsi="Arial" w:cs="Arial"/>
          <w:lang w:val="de-DE"/>
        </w:rPr>
        <w:t>Die maximale</w:t>
      </w:r>
      <w:r w:rsidR="00B440FA">
        <w:rPr>
          <w:rFonts w:ascii="Arial" w:hAnsi="Arial" w:cs="Arial"/>
          <w:lang w:val="de-DE"/>
        </w:rPr>
        <w:t xml:space="preserve"> Werkstückgröße beträgt</w:t>
      </w:r>
      <w:r>
        <w:rPr>
          <w:rFonts w:ascii="Arial" w:hAnsi="Arial" w:cs="Arial"/>
          <w:lang w:val="de-DE"/>
        </w:rPr>
        <w:t xml:space="preserve"> ø 500 x 500 mm bei einem Werkstückgewicht von 300 kg inklusive der Palette. Über den separaten</w:t>
      </w:r>
      <w:r w:rsidR="00CA38D3">
        <w:rPr>
          <w:rFonts w:ascii="Arial" w:hAnsi="Arial" w:cs="Arial"/>
          <w:lang w:val="de-DE"/>
        </w:rPr>
        <w:t>, optional drehbaren</w:t>
      </w:r>
      <w:r>
        <w:rPr>
          <w:rFonts w:ascii="Arial" w:hAnsi="Arial" w:cs="Arial"/>
          <w:lang w:val="de-DE"/>
        </w:rPr>
        <w:t xml:space="preserve"> Rüstplatz lassen sich die Paletten ergonomisch und hauptzeitparallel rüsten.</w:t>
      </w:r>
    </w:p>
    <w:p w14:paraId="71E10983" w14:textId="77777777" w:rsidR="00B440FA" w:rsidRDefault="00B440FA" w:rsidP="00562520">
      <w:pPr>
        <w:spacing w:line="281" w:lineRule="auto"/>
        <w:jc w:val="both"/>
        <w:rPr>
          <w:rFonts w:ascii="Arial" w:hAnsi="Arial" w:cs="Arial"/>
          <w:lang w:val="de-DE"/>
        </w:rPr>
      </w:pPr>
    </w:p>
    <w:p w14:paraId="547EEC28" w14:textId="24368CA8" w:rsidR="00BE748D" w:rsidRPr="00BE748D" w:rsidRDefault="00BE748D" w:rsidP="00562520">
      <w:pPr>
        <w:spacing w:line="281" w:lineRule="auto"/>
        <w:jc w:val="both"/>
        <w:rPr>
          <w:rFonts w:ascii="Arial" w:hAnsi="Arial" w:cs="Arial"/>
          <w:b/>
          <w:lang w:val="de-DE"/>
        </w:rPr>
      </w:pPr>
      <w:r w:rsidRPr="00BE748D">
        <w:rPr>
          <w:rFonts w:ascii="Arial" w:hAnsi="Arial" w:cs="Arial"/>
          <w:b/>
          <w:lang w:val="de-DE"/>
        </w:rPr>
        <w:t>Nachrüstbar und erweiterbar</w:t>
      </w:r>
    </w:p>
    <w:p w14:paraId="6136D508" w14:textId="3E18660C" w:rsidR="00B440FA" w:rsidRDefault="00B440FA" w:rsidP="00562520">
      <w:pPr>
        <w:spacing w:line="281" w:lineRule="auto"/>
        <w:jc w:val="both"/>
        <w:rPr>
          <w:rFonts w:ascii="Arial" w:hAnsi="Arial" w:cs="Arial"/>
          <w:lang w:val="de-DE"/>
        </w:rPr>
      </w:pPr>
      <w:r>
        <w:rPr>
          <w:rFonts w:ascii="Arial" w:hAnsi="Arial" w:cs="Arial"/>
          <w:lang w:val="de-DE"/>
        </w:rPr>
        <w:t>Durch seine definierte Schnittstelle und das Baukastenprinzip lässt sich das PH </w:t>
      </w:r>
      <w:proofErr w:type="spellStart"/>
      <w:r>
        <w:rPr>
          <w:rFonts w:ascii="Arial" w:hAnsi="Arial" w:cs="Arial"/>
          <w:lang w:val="de-DE"/>
        </w:rPr>
        <w:t>Cell</w:t>
      </w:r>
      <w:proofErr w:type="spellEnd"/>
      <w:r>
        <w:rPr>
          <w:rFonts w:ascii="Arial" w:hAnsi="Arial" w:cs="Arial"/>
          <w:lang w:val="de-DE"/>
        </w:rPr>
        <w:t> Twin schnell und unkompliziert in Betrieb nehmen. Wie die Schwesterprodukte kann auch die neue Version problemlos nachträglich an Bearbeitungszentren</w:t>
      </w:r>
      <w:r w:rsidR="00CA38D3">
        <w:rPr>
          <w:rFonts w:ascii="Arial" w:hAnsi="Arial" w:cs="Arial"/>
          <w:lang w:val="de-DE"/>
        </w:rPr>
        <w:t xml:space="preserve"> mit vorhandener Automationsschnittstelle</w:t>
      </w:r>
      <w:r>
        <w:rPr>
          <w:rFonts w:ascii="Arial" w:hAnsi="Arial" w:cs="Arial"/>
          <w:lang w:val="de-DE"/>
        </w:rPr>
        <w:t xml:space="preserve"> angeschlossen werden. Gleiches gilt für die Anbindung der zweiten Maschine, wodurch sich diese Investition auf einen späteren Zeitpunkt verschieben lässt. </w:t>
      </w:r>
      <w:r w:rsidR="00CA38D3">
        <w:rPr>
          <w:rFonts w:ascii="Arial" w:hAnsi="Arial" w:cs="Arial"/>
          <w:lang w:val="de-DE"/>
        </w:rPr>
        <w:t xml:space="preserve">Alle gängigen </w:t>
      </w:r>
      <w:r w:rsidR="00CA38D3">
        <w:rPr>
          <w:rFonts w:ascii="Arial" w:hAnsi="Arial" w:cs="Arial"/>
          <w:lang w:val="de-DE"/>
        </w:rPr>
        <w:lastRenderedPageBreak/>
        <w:t>kleineren</w:t>
      </w:r>
      <w:r>
        <w:rPr>
          <w:rFonts w:ascii="Arial" w:hAnsi="Arial" w:cs="Arial"/>
          <w:lang w:val="de-DE"/>
        </w:rPr>
        <w:t xml:space="preserve"> 5-Achs-Bearbeitungszentren</w:t>
      </w:r>
      <w:r w:rsidR="00CA38D3">
        <w:rPr>
          <w:rFonts w:ascii="Arial" w:hAnsi="Arial" w:cs="Arial"/>
          <w:lang w:val="de-DE"/>
        </w:rPr>
        <w:t xml:space="preserve"> sind mit dem PH </w:t>
      </w:r>
      <w:proofErr w:type="spellStart"/>
      <w:r w:rsidR="00CA38D3">
        <w:rPr>
          <w:rFonts w:ascii="Arial" w:hAnsi="Arial" w:cs="Arial"/>
          <w:lang w:val="de-DE"/>
        </w:rPr>
        <w:t>Cell</w:t>
      </w:r>
      <w:proofErr w:type="spellEnd"/>
      <w:r w:rsidR="00CA38D3">
        <w:rPr>
          <w:rFonts w:ascii="Arial" w:hAnsi="Arial" w:cs="Arial"/>
          <w:lang w:val="de-DE"/>
        </w:rPr>
        <w:t> Twin</w:t>
      </w:r>
      <w:r>
        <w:rPr>
          <w:rFonts w:ascii="Arial" w:hAnsi="Arial" w:cs="Arial"/>
          <w:lang w:val="de-DE"/>
        </w:rPr>
        <w:t xml:space="preserve"> kompatibel: die DMU 65</w:t>
      </w:r>
      <w:r w:rsidR="00CA38D3">
        <w:rPr>
          <w:rFonts w:ascii="Arial" w:hAnsi="Arial" w:cs="Arial"/>
          <w:lang w:val="de-DE"/>
        </w:rPr>
        <w:t> </w:t>
      </w:r>
      <w:r>
        <w:rPr>
          <w:rFonts w:ascii="Arial" w:hAnsi="Arial" w:cs="Arial"/>
          <w:lang w:val="de-DE"/>
        </w:rPr>
        <w:t>/ 75 </w:t>
      </w:r>
      <w:proofErr w:type="spellStart"/>
      <w:r>
        <w:rPr>
          <w:rFonts w:ascii="Arial" w:hAnsi="Arial" w:cs="Arial"/>
          <w:lang w:val="de-DE"/>
        </w:rPr>
        <w:t>monoBLOCK</w:t>
      </w:r>
      <w:proofErr w:type="spellEnd"/>
      <w:r>
        <w:rPr>
          <w:rFonts w:ascii="Arial" w:hAnsi="Arial" w:cs="Arial"/>
          <w:lang w:val="de-DE"/>
        </w:rPr>
        <w:t>, die DMU 65 H </w:t>
      </w:r>
      <w:proofErr w:type="spellStart"/>
      <w:r>
        <w:rPr>
          <w:rFonts w:ascii="Arial" w:hAnsi="Arial" w:cs="Arial"/>
          <w:lang w:val="de-DE"/>
        </w:rPr>
        <w:t>monoBLOCK</w:t>
      </w:r>
      <w:proofErr w:type="spellEnd"/>
      <w:r>
        <w:rPr>
          <w:rFonts w:ascii="Arial" w:hAnsi="Arial" w:cs="Arial"/>
          <w:lang w:val="de-DE"/>
        </w:rPr>
        <w:t xml:space="preserve">, </w:t>
      </w:r>
      <w:r w:rsidR="00CA38D3">
        <w:rPr>
          <w:rFonts w:ascii="Arial" w:hAnsi="Arial" w:cs="Arial"/>
          <w:lang w:val="de-DE"/>
        </w:rPr>
        <w:t>die DMU 560 3rd </w:t>
      </w:r>
      <w:r w:rsidR="00E73AE0">
        <w:rPr>
          <w:rFonts w:ascii="Arial" w:hAnsi="Arial" w:cs="Arial"/>
          <w:lang w:val="de-DE"/>
        </w:rPr>
        <w:br/>
      </w:r>
      <w:r w:rsidR="00CA38D3">
        <w:rPr>
          <w:rFonts w:ascii="Arial" w:hAnsi="Arial" w:cs="Arial"/>
          <w:lang w:val="de-DE"/>
        </w:rPr>
        <w:t>Generation, die DMU 40 / 60 </w:t>
      </w:r>
      <w:proofErr w:type="spellStart"/>
      <w:r w:rsidR="00CA38D3">
        <w:rPr>
          <w:rFonts w:ascii="Arial" w:hAnsi="Arial" w:cs="Arial"/>
          <w:lang w:val="de-DE"/>
        </w:rPr>
        <w:t>eVo</w:t>
      </w:r>
      <w:proofErr w:type="spellEnd"/>
      <w:r w:rsidR="00CA38D3">
        <w:rPr>
          <w:rFonts w:ascii="Arial" w:hAnsi="Arial" w:cs="Arial"/>
          <w:lang w:val="de-DE"/>
        </w:rPr>
        <w:t xml:space="preserve"> und die CMX 50 / 70 U. Selbstverständlich kann das PH </w:t>
      </w:r>
      <w:proofErr w:type="spellStart"/>
      <w:r w:rsidR="00CA38D3">
        <w:rPr>
          <w:rFonts w:ascii="Arial" w:hAnsi="Arial" w:cs="Arial"/>
          <w:lang w:val="de-DE"/>
        </w:rPr>
        <w:t>Cell</w:t>
      </w:r>
      <w:proofErr w:type="spellEnd"/>
      <w:r w:rsidR="00CA38D3">
        <w:rPr>
          <w:rFonts w:ascii="Arial" w:hAnsi="Arial" w:cs="Arial"/>
          <w:lang w:val="de-DE"/>
        </w:rPr>
        <w:t> Twin auch zwei unterschiedliche Maschinenmodelle mit Paletten bestücken.</w:t>
      </w:r>
    </w:p>
    <w:p w14:paraId="77A6E45E" w14:textId="77777777" w:rsidR="00EE7A59" w:rsidRDefault="00EE7A59" w:rsidP="00562520">
      <w:pPr>
        <w:spacing w:line="281" w:lineRule="auto"/>
        <w:jc w:val="both"/>
        <w:rPr>
          <w:rFonts w:ascii="Arial" w:hAnsi="Arial" w:cs="Arial"/>
          <w:lang w:val="de-DE"/>
        </w:rPr>
      </w:pPr>
    </w:p>
    <w:p w14:paraId="289C7384" w14:textId="50700DE7" w:rsidR="00606F52" w:rsidRDefault="008D643F" w:rsidP="00562520">
      <w:pPr>
        <w:spacing w:line="281" w:lineRule="auto"/>
        <w:jc w:val="both"/>
        <w:rPr>
          <w:rFonts w:ascii="Arial" w:hAnsi="Arial" w:cs="Arial"/>
          <w:lang w:val="de-DE"/>
        </w:rPr>
      </w:pPr>
      <w:r w:rsidRPr="008D643F">
        <w:rPr>
          <w:rFonts w:ascii="Arial" w:hAnsi="Arial" w:cs="Arial"/>
          <w:noProof/>
          <w:lang w:val="de-DE"/>
        </w:rPr>
        <w:drawing>
          <wp:inline distT="0" distB="0" distL="0" distR="0" wp14:anchorId="36DE74FE" wp14:editId="134B5485">
            <wp:extent cx="3604260" cy="3275846"/>
            <wp:effectExtent l="0" t="0" r="0" b="1270"/>
            <wp:docPr id="1" name="Grafik 1" descr="Ein Bild, das Spielzeug, LE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pielzeug, LEGO enthält.&#10;&#10;Automatisch generierte Beschreibung"/>
                    <pic:cNvPicPr/>
                  </pic:nvPicPr>
                  <pic:blipFill>
                    <a:blip r:embed="rId8"/>
                    <a:stretch>
                      <a:fillRect/>
                    </a:stretch>
                  </pic:blipFill>
                  <pic:spPr>
                    <a:xfrm>
                      <a:off x="0" y="0"/>
                      <a:ext cx="3612705" cy="3283521"/>
                    </a:xfrm>
                    <a:prstGeom prst="rect">
                      <a:avLst/>
                    </a:prstGeom>
                  </pic:spPr>
                </pic:pic>
              </a:graphicData>
            </a:graphic>
          </wp:inline>
        </w:drawing>
      </w:r>
    </w:p>
    <w:p w14:paraId="75D247FB" w14:textId="1F206C0F" w:rsidR="002978E3" w:rsidRDefault="002978E3" w:rsidP="00562520">
      <w:pPr>
        <w:spacing w:line="281" w:lineRule="auto"/>
        <w:jc w:val="both"/>
        <w:rPr>
          <w:rFonts w:ascii="Arial" w:hAnsi="Arial" w:cs="Arial"/>
          <w:lang w:val="de-DE"/>
        </w:rPr>
      </w:pPr>
    </w:p>
    <w:p w14:paraId="39DE494D" w14:textId="5144FD00" w:rsidR="002978E3" w:rsidRPr="002978E3" w:rsidRDefault="002978E3" w:rsidP="002978E3">
      <w:pPr>
        <w:spacing w:line="281" w:lineRule="auto"/>
        <w:jc w:val="center"/>
        <w:rPr>
          <w:rFonts w:ascii="Arial" w:hAnsi="Arial" w:cs="Arial"/>
          <w:i/>
          <w:iCs/>
          <w:lang w:val="de-DE"/>
        </w:rPr>
      </w:pPr>
      <w:r w:rsidRPr="002978E3">
        <w:rPr>
          <w:rFonts w:ascii="Arial" w:hAnsi="Arial" w:cs="Arial"/>
          <w:i/>
          <w:iCs/>
          <w:lang w:val="de-DE"/>
        </w:rPr>
        <w:t xml:space="preserve">PH </w:t>
      </w:r>
      <w:proofErr w:type="spellStart"/>
      <w:r w:rsidRPr="002978E3">
        <w:rPr>
          <w:rFonts w:ascii="Arial" w:hAnsi="Arial" w:cs="Arial"/>
          <w:i/>
          <w:iCs/>
          <w:lang w:val="de-DE"/>
        </w:rPr>
        <w:t>Cell</w:t>
      </w:r>
      <w:proofErr w:type="spellEnd"/>
      <w:r w:rsidRPr="002978E3">
        <w:rPr>
          <w:rFonts w:ascii="Arial" w:hAnsi="Arial" w:cs="Arial"/>
          <w:i/>
          <w:iCs/>
          <w:lang w:val="de-DE"/>
        </w:rPr>
        <w:t xml:space="preserve"> Twin mit DMU 50 und DMU 65 H </w:t>
      </w:r>
      <w:proofErr w:type="spellStart"/>
      <w:r w:rsidRPr="002978E3">
        <w:rPr>
          <w:rFonts w:ascii="Arial" w:hAnsi="Arial" w:cs="Arial"/>
          <w:i/>
          <w:iCs/>
          <w:lang w:val="de-DE"/>
        </w:rPr>
        <w:t>monoBLOCK</w:t>
      </w:r>
      <w:proofErr w:type="spellEnd"/>
    </w:p>
    <w:p w14:paraId="4B3508DC" w14:textId="77355CA5" w:rsidR="00A33F09" w:rsidRDefault="008D643F" w:rsidP="00562520">
      <w:pPr>
        <w:spacing w:line="281" w:lineRule="auto"/>
        <w:jc w:val="both"/>
        <w:rPr>
          <w:rFonts w:ascii="Arial" w:hAnsi="Arial" w:cs="Arial"/>
          <w:lang w:val="de-DE"/>
        </w:rPr>
      </w:pPr>
      <w:r w:rsidRPr="008D643F">
        <w:rPr>
          <w:rFonts w:ascii="Arial" w:hAnsi="Arial" w:cs="Arial"/>
          <w:noProof/>
          <w:lang w:val="de-DE"/>
        </w:rPr>
        <w:drawing>
          <wp:inline distT="0" distB="0" distL="0" distR="0" wp14:anchorId="5530265E" wp14:editId="62181EE7">
            <wp:extent cx="4107180" cy="2498425"/>
            <wp:effectExtent l="0" t="0" r="7620" b="0"/>
            <wp:docPr id="2" name="Grafik 2" descr="Ein Bild, das Elektronik,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Elektronik, Computer enthält.&#10;&#10;Automatisch generierte Beschreibung"/>
                    <pic:cNvPicPr/>
                  </pic:nvPicPr>
                  <pic:blipFill>
                    <a:blip r:embed="rId9"/>
                    <a:stretch>
                      <a:fillRect/>
                    </a:stretch>
                  </pic:blipFill>
                  <pic:spPr>
                    <a:xfrm>
                      <a:off x="0" y="0"/>
                      <a:ext cx="4111484" cy="2501043"/>
                    </a:xfrm>
                    <a:prstGeom prst="rect">
                      <a:avLst/>
                    </a:prstGeom>
                  </pic:spPr>
                </pic:pic>
              </a:graphicData>
            </a:graphic>
          </wp:inline>
        </w:drawing>
      </w:r>
    </w:p>
    <w:p w14:paraId="37300334" w14:textId="77777777" w:rsidR="002978E3" w:rsidRPr="002978E3" w:rsidRDefault="002978E3" w:rsidP="002978E3">
      <w:pPr>
        <w:spacing w:line="281" w:lineRule="auto"/>
        <w:jc w:val="center"/>
        <w:rPr>
          <w:rFonts w:ascii="Arial" w:hAnsi="Arial" w:cs="Arial"/>
          <w:i/>
          <w:iCs/>
          <w:lang w:val="de-DE"/>
        </w:rPr>
      </w:pPr>
      <w:r w:rsidRPr="002978E3">
        <w:rPr>
          <w:rFonts w:ascii="Arial" w:hAnsi="Arial" w:cs="Arial"/>
          <w:i/>
          <w:iCs/>
          <w:lang w:val="de-DE"/>
        </w:rPr>
        <w:t>Nachrüstbar: Anbindung an vorhandene Maschine mit bereits integrierter Automationsschnittstelle möglich. Erweiterbar: Nachträgliche Anbindung der</w:t>
      </w:r>
    </w:p>
    <w:p w14:paraId="2EA778B8" w14:textId="47F7B1D7" w:rsidR="001B6161" w:rsidRPr="006E7F6C" w:rsidRDefault="002978E3" w:rsidP="002978E3">
      <w:pPr>
        <w:spacing w:line="281" w:lineRule="auto"/>
        <w:jc w:val="center"/>
        <w:rPr>
          <w:rFonts w:ascii="Arial" w:hAnsi="Arial" w:cs="Arial"/>
          <w:i/>
          <w:iCs/>
          <w:lang w:val="de-DE"/>
        </w:rPr>
      </w:pPr>
      <w:r w:rsidRPr="002978E3">
        <w:rPr>
          <w:rFonts w:ascii="Arial" w:hAnsi="Arial" w:cs="Arial"/>
          <w:i/>
          <w:iCs/>
          <w:lang w:val="de-DE"/>
        </w:rPr>
        <w:t>zweiten Maschine möglich.</w:t>
      </w:r>
    </w:p>
    <w:sectPr w:rsidR="001B6161" w:rsidRPr="006E7F6C" w:rsidSect="00EE5D7D">
      <w:headerReference w:type="even" r:id="rId10"/>
      <w:headerReference w:type="default" r:id="rId11"/>
      <w:footerReference w:type="default" r:id="rId12"/>
      <w:headerReference w:type="first" r:id="rId13"/>
      <w:pgSz w:w="11900" w:h="16840"/>
      <w:pgMar w:top="2381" w:right="3082" w:bottom="1134" w:left="993" w:header="709" w:footer="4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3EA68" w14:textId="77777777" w:rsidR="004551B5" w:rsidRDefault="004551B5" w:rsidP="00C0359A">
      <w:r>
        <w:separator/>
      </w:r>
    </w:p>
  </w:endnote>
  <w:endnote w:type="continuationSeparator" w:id="0">
    <w:p w14:paraId="5A4451EE" w14:textId="77777777" w:rsidR="004551B5" w:rsidRDefault="004551B5" w:rsidP="00C03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898235"/>
      <w:docPartObj>
        <w:docPartGallery w:val="Page Numbers (Bottom of Page)"/>
        <w:docPartUnique/>
      </w:docPartObj>
    </w:sdtPr>
    <w:sdtEndPr>
      <w:rPr>
        <w:rFonts w:ascii="Arial" w:hAnsi="Arial" w:cs="Arial"/>
        <w:sz w:val="18"/>
        <w:szCs w:val="18"/>
      </w:rPr>
    </w:sdtEndPr>
    <w:sdtContent>
      <w:p w14:paraId="6EDE317F" w14:textId="5941225F" w:rsidR="00EE5D7D" w:rsidRPr="00EE5D7D" w:rsidRDefault="00EE5D7D">
        <w:pPr>
          <w:pStyle w:val="Fuzeile"/>
          <w:jc w:val="right"/>
          <w:rPr>
            <w:rFonts w:ascii="Arial" w:hAnsi="Arial" w:cs="Arial"/>
            <w:sz w:val="18"/>
            <w:szCs w:val="18"/>
          </w:rPr>
        </w:pPr>
        <w:r w:rsidRPr="00EE5D7D">
          <w:rPr>
            <w:rFonts w:ascii="Arial" w:hAnsi="Arial" w:cs="Arial"/>
            <w:sz w:val="18"/>
            <w:szCs w:val="18"/>
          </w:rPr>
          <w:fldChar w:fldCharType="begin"/>
        </w:r>
        <w:r w:rsidRPr="00EE5D7D">
          <w:rPr>
            <w:rFonts w:ascii="Arial" w:hAnsi="Arial" w:cs="Arial"/>
            <w:sz w:val="18"/>
            <w:szCs w:val="18"/>
          </w:rPr>
          <w:instrText>PAGE   \* MERGEFORMAT</w:instrText>
        </w:r>
        <w:r w:rsidRPr="00EE5D7D">
          <w:rPr>
            <w:rFonts w:ascii="Arial" w:hAnsi="Arial" w:cs="Arial"/>
            <w:sz w:val="18"/>
            <w:szCs w:val="18"/>
          </w:rPr>
          <w:fldChar w:fldCharType="separate"/>
        </w:r>
        <w:r w:rsidR="00BE748D" w:rsidRPr="00BE748D">
          <w:rPr>
            <w:rFonts w:ascii="Arial" w:hAnsi="Arial" w:cs="Arial"/>
            <w:noProof/>
            <w:sz w:val="18"/>
            <w:szCs w:val="18"/>
            <w:lang w:val="de-DE"/>
          </w:rPr>
          <w:t>2</w:t>
        </w:r>
        <w:r w:rsidRPr="00EE5D7D">
          <w:rPr>
            <w:rFonts w:ascii="Arial" w:hAnsi="Arial" w:cs="Arial"/>
            <w:sz w:val="18"/>
            <w:szCs w:val="18"/>
          </w:rPr>
          <w:fldChar w:fldCharType="end"/>
        </w:r>
      </w:p>
    </w:sdtContent>
  </w:sdt>
  <w:p w14:paraId="095B4F9A" w14:textId="77777777" w:rsidR="00EE5D7D" w:rsidRDefault="00EE5D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5171E" w14:textId="77777777" w:rsidR="004551B5" w:rsidRDefault="004551B5" w:rsidP="00C0359A">
      <w:r>
        <w:separator/>
      </w:r>
    </w:p>
  </w:footnote>
  <w:footnote w:type="continuationSeparator" w:id="0">
    <w:p w14:paraId="25C2EA19" w14:textId="77777777" w:rsidR="004551B5" w:rsidRDefault="004551B5" w:rsidP="00C03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C2C0" w14:textId="77777777" w:rsidR="00C0359A" w:rsidRDefault="003F4A7F">
    <w:pPr>
      <w:pStyle w:val="Kopfzeile"/>
    </w:pPr>
    <w:r>
      <w:rPr>
        <w:noProof/>
        <w:lang w:val="de-DE" w:eastAsia="de-DE"/>
      </w:rPr>
      <w:drawing>
        <wp:anchor distT="0" distB="0" distL="114300" distR="114300" simplePos="0" relativeHeight="251671552" behindDoc="1" locked="0" layoutInCell="0" allowOverlap="1" wp14:anchorId="36375153" wp14:editId="0337A72F">
          <wp:simplePos x="0" y="0"/>
          <wp:positionH relativeFrom="margin">
            <wp:align>center</wp:align>
          </wp:positionH>
          <wp:positionV relativeFrom="margin">
            <wp:align>center</wp:align>
          </wp:positionV>
          <wp:extent cx="7560310" cy="10692130"/>
          <wp:effectExtent l="0" t="0" r="0" b="0"/>
          <wp:wrapNone/>
          <wp:docPr id="22" name="Grafik 22"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8480" behindDoc="1" locked="0" layoutInCell="0" allowOverlap="1" wp14:anchorId="09157B3D" wp14:editId="18257961">
          <wp:simplePos x="0" y="0"/>
          <wp:positionH relativeFrom="margin">
            <wp:align>center</wp:align>
          </wp:positionH>
          <wp:positionV relativeFrom="margin">
            <wp:align>center</wp:align>
          </wp:positionV>
          <wp:extent cx="7560310" cy="10692130"/>
          <wp:effectExtent l="0" t="0" r="0" b="0"/>
          <wp:wrapNone/>
          <wp:docPr id="23" name="Grafik 23"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5408" behindDoc="1" locked="0" layoutInCell="0" allowOverlap="1" wp14:anchorId="70AE3AC5" wp14:editId="67117F87">
          <wp:simplePos x="0" y="0"/>
          <wp:positionH relativeFrom="margin">
            <wp:align>center</wp:align>
          </wp:positionH>
          <wp:positionV relativeFrom="margin">
            <wp:align>center</wp:align>
          </wp:positionV>
          <wp:extent cx="7560310" cy="10692130"/>
          <wp:effectExtent l="0" t="0" r="0" b="0"/>
          <wp:wrapNone/>
          <wp:docPr id="24" name="Grafik 24"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2336" behindDoc="1" locked="0" layoutInCell="1" allowOverlap="1" wp14:anchorId="25564C1D" wp14:editId="7AB2C7DA">
          <wp:simplePos x="0" y="0"/>
          <wp:positionH relativeFrom="margin">
            <wp:align>center</wp:align>
          </wp:positionH>
          <wp:positionV relativeFrom="margin">
            <wp:align>center</wp:align>
          </wp:positionV>
          <wp:extent cx="7560310" cy="10692130"/>
          <wp:effectExtent l="0" t="0" r="0" b="0"/>
          <wp:wrapNone/>
          <wp:docPr id="25" name="Grafik 25"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978E3">
      <w:pict w14:anchorId="37A9F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PM Vorlage DE" style="position:absolute;margin-left:0;margin-top:0;width:595.3pt;height:841.9pt;z-index:-251657216;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F251" w14:textId="34488539" w:rsidR="00C0359A" w:rsidRDefault="007C6CC3" w:rsidP="00C63B7F">
    <w:pPr>
      <w:pStyle w:val="Kopfzeile"/>
      <w:tabs>
        <w:tab w:val="clear" w:pos="4536"/>
        <w:tab w:val="clear" w:pos="9072"/>
        <w:tab w:val="center" w:pos="3898"/>
        <w:tab w:val="left" w:pos="5980"/>
      </w:tabs>
      <w:rPr>
        <w:lang w:val="de-DE"/>
      </w:rPr>
    </w:pPr>
    <w:r>
      <w:rPr>
        <w:noProof/>
        <w:lang w:val="de-DE" w:eastAsia="de-DE"/>
      </w:rPr>
      <w:drawing>
        <wp:anchor distT="0" distB="0" distL="114300" distR="114300" simplePos="0" relativeHeight="251673600" behindDoc="1" locked="0" layoutInCell="1" allowOverlap="0" wp14:anchorId="49E9B550" wp14:editId="037F0B3B">
          <wp:simplePos x="0" y="0"/>
          <wp:positionH relativeFrom="column">
            <wp:posOffset>-630555</wp:posOffset>
          </wp:positionH>
          <wp:positionV relativeFrom="paragraph">
            <wp:posOffset>-424815</wp:posOffset>
          </wp:positionV>
          <wp:extent cx="7593449" cy="10706764"/>
          <wp:effectExtent l="0" t="0" r="1270" b="0"/>
          <wp:wrapNone/>
          <wp:docPr id="2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3449" cy="10706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8CF">
      <w:rPr>
        <w:lang w:val="de-DE"/>
      </w:rPr>
      <w:tab/>
    </w:r>
    <w:r w:rsidR="00C63B7F">
      <w:rPr>
        <w:lang w:val="de-DE"/>
      </w:rPr>
      <w:tab/>
    </w:r>
  </w:p>
  <w:p w14:paraId="2124B7C2" w14:textId="239B45C1" w:rsidR="007C6CC3" w:rsidRPr="007C6CC3" w:rsidRDefault="00FB1B61" w:rsidP="00FB1B61">
    <w:pPr>
      <w:pStyle w:val="Kopfzeile"/>
      <w:tabs>
        <w:tab w:val="clear" w:pos="4536"/>
        <w:tab w:val="clear" w:pos="9072"/>
        <w:tab w:val="left" w:pos="5980"/>
      </w:tabs>
      <w:rPr>
        <w:lang w:val="de-DE"/>
      </w:rPr>
    </w:pPr>
    <w:r>
      <w:rPr>
        <w:lang w:val="de-D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914CD" w14:textId="77777777" w:rsidR="00C0359A" w:rsidRDefault="003F4A7F">
    <w:pPr>
      <w:pStyle w:val="Kopfzeile"/>
    </w:pPr>
    <w:r>
      <w:rPr>
        <w:noProof/>
        <w:lang w:val="de-DE" w:eastAsia="de-DE"/>
      </w:rPr>
      <w:drawing>
        <wp:anchor distT="0" distB="0" distL="114300" distR="114300" simplePos="0" relativeHeight="251672576" behindDoc="1" locked="0" layoutInCell="0" allowOverlap="1" wp14:anchorId="6719E1B4" wp14:editId="66F4A3DC">
          <wp:simplePos x="0" y="0"/>
          <wp:positionH relativeFrom="margin">
            <wp:align>center</wp:align>
          </wp:positionH>
          <wp:positionV relativeFrom="margin">
            <wp:align>center</wp:align>
          </wp:positionV>
          <wp:extent cx="7560310" cy="10692130"/>
          <wp:effectExtent l="0" t="0" r="0" b="0"/>
          <wp:wrapNone/>
          <wp:docPr id="27" name="Grafik 27"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smartXpert/Dropbox/2017 pressGATE/DMG MORI Vorlagen/PM Vorlage UK 2017.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9504" behindDoc="1" locked="0" layoutInCell="0" allowOverlap="1" wp14:anchorId="523F1739" wp14:editId="596AB98D">
          <wp:simplePos x="0" y="0"/>
          <wp:positionH relativeFrom="margin">
            <wp:align>center</wp:align>
          </wp:positionH>
          <wp:positionV relativeFrom="margin">
            <wp:align>center</wp:align>
          </wp:positionV>
          <wp:extent cx="7560310" cy="10692130"/>
          <wp:effectExtent l="0" t="0" r="0" b="0"/>
          <wp:wrapNone/>
          <wp:docPr id="28" name="Grafik 28" descr="/Users/smartXpert/Dropbox/2017 pressGATE/DMG MORI Vorlagen/PM Vorlage UK 20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smartXpert/Dropbox/2017 pressGATE/DMG MORI Vorlagen/PM Vorlage UK 2017.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6432" behindDoc="1" locked="0" layoutInCell="0" allowOverlap="1" wp14:anchorId="6E5D39E0" wp14:editId="0982368C">
          <wp:simplePos x="0" y="0"/>
          <wp:positionH relativeFrom="margin">
            <wp:align>center</wp:align>
          </wp:positionH>
          <wp:positionV relativeFrom="margin">
            <wp:align>center</wp:align>
          </wp:positionV>
          <wp:extent cx="7560310" cy="10692130"/>
          <wp:effectExtent l="0" t="0" r="0" b="0"/>
          <wp:wrapNone/>
          <wp:docPr id="29" name="Grafik 29" descr="/Users/smartXpert/Dropbox/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smartXpert/Dropbox/Team-Ordner „pressGATE GmbH“/DMG MORI Vorlagen/PM Vorlage UK.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eastAsia="de-DE"/>
      </w:rPr>
      <w:drawing>
        <wp:anchor distT="0" distB="0" distL="114300" distR="114300" simplePos="0" relativeHeight="251663360" behindDoc="1" locked="0" layoutInCell="1" allowOverlap="1" wp14:anchorId="63734930" wp14:editId="58CB9658">
          <wp:simplePos x="0" y="0"/>
          <wp:positionH relativeFrom="margin">
            <wp:align>center</wp:align>
          </wp:positionH>
          <wp:positionV relativeFrom="margin">
            <wp:align>center</wp:align>
          </wp:positionV>
          <wp:extent cx="7560310" cy="10692130"/>
          <wp:effectExtent l="0" t="0" r="0" b="0"/>
          <wp:wrapNone/>
          <wp:docPr id="30" name="Grafik 30" descr="/Users/Ralph/Dropbox (pressGATE GmbH)/Team-Ordner „pressGATE GmbH“/DMG MORI Vorlagen/PM Vorlage U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Ralph/Dropbox (pressGATE GmbH)/Team-Ordner „pressGATE GmbH“/DMG MORI Vorlagen/PM Vorlage UK.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978E3">
      <w:pict w14:anchorId="15539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PM Vorlage DE" style="position:absolute;margin-left:0;margin-top:0;width:595.3pt;height:841.9pt;z-index:-251656192;mso-wrap-edited:f;mso-width-percent:0;mso-height-percent:0;mso-position-horizontal:center;mso-position-horizontal-relative:margin;mso-position-vertical:center;mso-position-vertical-relative:margin;mso-width-percent:0;mso-height-percent:0" wrapcoords="15778 1058 1714 1058 1687 1231 6012 1366 6012 1616 6066 1673 6339 1693 10800 1981 10800 2597 1714 2693 1714 2827 10800 2904 10800 20446 1687 20638 1687 21138 4108 21138 6638 21138 7345 21138 7726 21119 7726 21023 7073 20965 3917 20754 16322 20696 16404 20638 10773 20446 10800 2904 16377 2731 16377 2693 10773 2597 10800 1981 12677 1981 13901 1866 13874 1673 14935 1673 20512 1423 20485 1058 15778 1058">
          <v:imagedata r:id="rId5" o:title="PM Vorlage D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F3EF7"/>
    <w:multiLevelType w:val="hybridMultilevel"/>
    <w:tmpl w:val="BBD42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81D41"/>
    <w:multiLevelType w:val="hybridMultilevel"/>
    <w:tmpl w:val="13DE9EE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B349F0"/>
    <w:multiLevelType w:val="hybridMultilevel"/>
    <w:tmpl w:val="88CC7F4E"/>
    <w:lvl w:ilvl="0" w:tplc="620E0CC0">
      <w:numFmt w:val="bullet"/>
      <w:lvlText w:val="-"/>
      <w:lvlJc w:val="left"/>
      <w:pPr>
        <w:ind w:left="720" w:hanging="360"/>
      </w:pPr>
      <w:rPr>
        <w:rFonts w:ascii="Arial" w:eastAsia="MS Mincho"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860090"/>
    <w:multiLevelType w:val="hybridMultilevel"/>
    <w:tmpl w:val="12524352"/>
    <w:lvl w:ilvl="0" w:tplc="56AC6E04">
      <w:numFmt w:val="bullet"/>
      <w:lvlText w:val="-"/>
      <w:lvlJc w:val="left"/>
      <w:pPr>
        <w:ind w:left="720" w:hanging="360"/>
      </w:pPr>
      <w:rPr>
        <w:rFonts w:ascii="Calibri" w:eastAsia="MS Mincho" w:hAnsi="Calibri"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9728CD"/>
    <w:multiLevelType w:val="hybridMultilevel"/>
    <w:tmpl w:val="D376FF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5FC5E62"/>
    <w:multiLevelType w:val="hybridMultilevel"/>
    <w:tmpl w:val="19E01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931FFF"/>
    <w:multiLevelType w:val="hybridMultilevel"/>
    <w:tmpl w:val="5A1EB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C974ADB"/>
    <w:multiLevelType w:val="hybridMultilevel"/>
    <w:tmpl w:val="EC503E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E4A183C"/>
    <w:multiLevelType w:val="hybridMultilevel"/>
    <w:tmpl w:val="5B5ADE50"/>
    <w:lvl w:ilvl="0" w:tplc="10F83AE8">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E4EB4"/>
    <w:multiLevelType w:val="hybridMultilevel"/>
    <w:tmpl w:val="2342F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196451"/>
    <w:multiLevelType w:val="hybridMultilevel"/>
    <w:tmpl w:val="79CCF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E73175"/>
    <w:multiLevelType w:val="hybridMultilevel"/>
    <w:tmpl w:val="583A4220"/>
    <w:lvl w:ilvl="0" w:tplc="47C49F3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6C24BC"/>
    <w:multiLevelType w:val="hybridMultilevel"/>
    <w:tmpl w:val="14CAF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6777474"/>
    <w:multiLevelType w:val="hybridMultilevel"/>
    <w:tmpl w:val="ADB80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B66B43"/>
    <w:multiLevelType w:val="hybridMultilevel"/>
    <w:tmpl w:val="8A32FF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751358A"/>
    <w:multiLevelType w:val="hybridMultilevel"/>
    <w:tmpl w:val="70B2E9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3435EA"/>
    <w:multiLevelType w:val="hybridMultilevel"/>
    <w:tmpl w:val="17347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734D5"/>
    <w:multiLevelType w:val="hybridMultilevel"/>
    <w:tmpl w:val="21983A8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C57531"/>
    <w:multiLevelType w:val="hybridMultilevel"/>
    <w:tmpl w:val="38126D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52281289">
    <w:abstractNumId w:val="0"/>
  </w:num>
  <w:num w:numId="2" w16cid:durableId="441455428">
    <w:abstractNumId w:val="10"/>
  </w:num>
  <w:num w:numId="3" w16cid:durableId="1520587923">
    <w:abstractNumId w:val="4"/>
  </w:num>
  <w:num w:numId="4" w16cid:durableId="1491557498">
    <w:abstractNumId w:val="7"/>
  </w:num>
  <w:num w:numId="5" w16cid:durableId="248195983">
    <w:abstractNumId w:val="14"/>
  </w:num>
  <w:num w:numId="6" w16cid:durableId="580142826">
    <w:abstractNumId w:val="18"/>
  </w:num>
  <w:num w:numId="7" w16cid:durableId="1028994084">
    <w:abstractNumId w:val="9"/>
  </w:num>
  <w:num w:numId="8" w16cid:durableId="1573616661">
    <w:abstractNumId w:val="8"/>
  </w:num>
  <w:num w:numId="9" w16cid:durableId="1488593163">
    <w:abstractNumId w:val="13"/>
  </w:num>
  <w:num w:numId="10" w16cid:durableId="1618684783">
    <w:abstractNumId w:val="3"/>
  </w:num>
  <w:num w:numId="11" w16cid:durableId="577596960">
    <w:abstractNumId w:val="2"/>
  </w:num>
  <w:num w:numId="12" w16cid:durableId="107703154">
    <w:abstractNumId w:val="16"/>
  </w:num>
  <w:num w:numId="13" w16cid:durableId="922884144">
    <w:abstractNumId w:val="1"/>
  </w:num>
  <w:num w:numId="14" w16cid:durableId="1117261851">
    <w:abstractNumId w:val="15"/>
  </w:num>
  <w:num w:numId="15" w16cid:durableId="152572407">
    <w:abstractNumId w:val="11"/>
  </w:num>
  <w:num w:numId="16" w16cid:durableId="350961405">
    <w:abstractNumId w:val="12"/>
  </w:num>
  <w:num w:numId="17" w16cid:durableId="908728827">
    <w:abstractNumId w:val="6"/>
  </w:num>
  <w:num w:numId="18" w16cid:durableId="918095649">
    <w:abstractNumId w:val="17"/>
  </w:num>
  <w:num w:numId="19" w16cid:durableId="12394867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it-IT" w:vendorID="64" w:dllVersion="6" w:nlCheck="1" w:checkStyle="0"/>
  <w:activeWritingStyle w:appName="MSWord" w:lang="de-DE" w:vendorID="64" w:dllVersion="6" w:nlCheck="1" w:checkStyle="1"/>
  <w:activeWritingStyle w:appName="MSWord" w:lang="de-DE" w:vendorID="64" w:dllVersion="0"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proofState w:spelling="clean"/>
  <w:attachedTemplate r:id="rId1"/>
  <w:defaultTabStop w:val="708"/>
  <w:hyphenationZone w:val="425"/>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A7F"/>
    <w:rsid w:val="000000F0"/>
    <w:rsid w:val="00001F42"/>
    <w:rsid w:val="0002262F"/>
    <w:rsid w:val="00024138"/>
    <w:rsid w:val="000244C7"/>
    <w:rsid w:val="00032F55"/>
    <w:rsid w:val="00054816"/>
    <w:rsid w:val="00057393"/>
    <w:rsid w:val="00061269"/>
    <w:rsid w:val="00063687"/>
    <w:rsid w:val="00071B80"/>
    <w:rsid w:val="00074554"/>
    <w:rsid w:val="00080A3F"/>
    <w:rsid w:val="00091098"/>
    <w:rsid w:val="00091F70"/>
    <w:rsid w:val="000963D6"/>
    <w:rsid w:val="000A2739"/>
    <w:rsid w:val="000B169C"/>
    <w:rsid w:val="000B3DC4"/>
    <w:rsid w:val="000B7494"/>
    <w:rsid w:val="000C1056"/>
    <w:rsid w:val="000C3B05"/>
    <w:rsid w:val="000D2B59"/>
    <w:rsid w:val="000D3385"/>
    <w:rsid w:val="000D6371"/>
    <w:rsid w:val="001031E4"/>
    <w:rsid w:val="00103E32"/>
    <w:rsid w:val="0010633D"/>
    <w:rsid w:val="00107FCF"/>
    <w:rsid w:val="00120767"/>
    <w:rsid w:val="00121EE5"/>
    <w:rsid w:val="0013732E"/>
    <w:rsid w:val="001461C3"/>
    <w:rsid w:val="001478D6"/>
    <w:rsid w:val="00152254"/>
    <w:rsid w:val="001546E6"/>
    <w:rsid w:val="0016444B"/>
    <w:rsid w:val="00165E04"/>
    <w:rsid w:val="00166839"/>
    <w:rsid w:val="00174597"/>
    <w:rsid w:val="00176DB5"/>
    <w:rsid w:val="00177148"/>
    <w:rsid w:val="001802A8"/>
    <w:rsid w:val="00181B0E"/>
    <w:rsid w:val="001859D3"/>
    <w:rsid w:val="001871C3"/>
    <w:rsid w:val="001901B3"/>
    <w:rsid w:val="001B6161"/>
    <w:rsid w:val="001C2830"/>
    <w:rsid w:val="001C4217"/>
    <w:rsid w:val="001C78CF"/>
    <w:rsid w:val="001C7F8C"/>
    <w:rsid w:val="001D0323"/>
    <w:rsid w:val="001D3AD1"/>
    <w:rsid w:val="001D75FD"/>
    <w:rsid w:val="001E32FB"/>
    <w:rsid w:val="001E3F4A"/>
    <w:rsid w:val="001E42D7"/>
    <w:rsid w:val="001E4457"/>
    <w:rsid w:val="001E775E"/>
    <w:rsid w:val="001F5606"/>
    <w:rsid w:val="001F607E"/>
    <w:rsid w:val="001F6492"/>
    <w:rsid w:val="002074CC"/>
    <w:rsid w:val="002130FF"/>
    <w:rsid w:val="00215C09"/>
    <w:rsid w:val="002214CD"/>
    <w:rsid w:val="002275BE"/>
    <w:rsid w:val="0023090A"/>
    <w:rsid w:val="00230F49"/>
    <w:rsid w:val="00232246"/>
    <w:rsid w:val="00235331"/>
    <w:rsid w:val="0023647C"/>
    <w:rsid w:val="00240AEC"/>
    <w:rsid w:val="002432DB"/>
    <w:rsid w:val="0024594D"/>
    <w:rsid w:val="002529AF"/>
    <w:rsid w:val="0025379F"/>
    <w:rsid w:val="00255BD1"/>
    <w:rsid w:val="00255E35"/>
    <w:rsid w:val="00257A51"/>
    <w:rsid w:val="0026069D"/>
    <w:rsid w:val="00261CCB"/>
    <w:rsid w:val="00263C02"/>
    <w:rsid w:val="00265E4A"/>
    <w:rsid w:val="002718E0"/>
    <w:rsid w:val="00273E3F"/>
    <w:rsid w:val="00274B50"/>
    <w:rsid w:val="00280023"/>
    <w:rsid w:val="00285F85"/>
    <w:rsid w:val="00291E7F"/>
    <w:rsid w:val="0029242A"/>
    <w:rsid w:val="002940C4"/>
    <w:rsid w:val="00294571"/>
    <w:rsid w:val="002978E3"/>
    <w:rsid w:val="002A38E4"/>
    <w:rsid w:val="002A4536"/>
    <w:rsid w:val="002D0F49"/>
    <w:rsid w:val="002D2D9D"/>
    <w:rsid w:val="002E6F6B"/>
    <w:rsid w:val="002F016F"/>
    <w:rsid w:val="002F1619"/>
    <w:rsid w:val="002F1F67"/>
    <w:rsid w:val="002F2201"/>
    <w:rsid w:val="002F2EDB"/>
    <w:rsid w:val="003013BD"/>
    <w:rsid w:val="00302164"/>
    <w:rsid w:val="003049DF"/>
    <w:rsid w:val="003059F3"/>
    <w:rsid w:val="00311959"/>
    <w:rsid w:val="00311E5F"/>
    <w:rsid w:val="00314916"/>
    <w:rsid w:val="00316A68"/>
    <w:rsid w:val="003178AC"/>
    <w:rsid w:val="00321A9E"/>
    <w:rsid w:val="00321F92"/>
    <w:rsid w:val="00322485"/>
    <w:rsid w:val="00331BF6"/>
    <w:rsid w:val="00336672"/>
    <w:rsid w:val="00343F5B"/>
    <w:rsid w:val="003469A1"/>
    <w:rsid w:val="003472DF"/>
    <w:rsid w:val="0035207C"/>
    <w:rsid w:val="00353B6A"/>
    <w:rsid w:val="00355DFD"/>
    <w:rsid w:val="00355FFA"/>
    <w:rsid w:val="003575BE"/>
    <w:rsid w:val="00360D9A"/>
    <w:rsid w:val="003660CC"/>
    <w:rsid w:val="003818D3"/>
    <w:rsid w:val="00381AE3"/>
    <w:rsid w:val="003822AD"/>
    <w:rsid w:val="003851A4"/>
    <w:rsid w:val="003A482E"/>
    <w:rsid w:val="003B01CF"/>
    <w:rsid w:val="003B1606"/>
    <w:rsid w:val="003B2A45"/>
    <w:rsid w:val="003B2FDD"/>
    <w:rsid w:val="003B488F"/>
    <w:rsid w:val="003C3E23"/>
    <w:rsid w:val="003C5F5C"/>
    <w:rsid w:val="003C7F19"/>
    <w:rsid w:val="003D6295"/>
    <w:rsid w:val="003E6F02"/>
    <w:rsid w:val="003F3424"/>
    <w:rsid w:val="003F470C"/>
    <w:rsid w:val="003F4A7F"/>
    <w:rsid w:val="004054D0"/>
    <w:rsid w:val="004075C7"/>
    <w:rsid w:val="00413623"/>
    <w:rsid w:val="00414F4A"/>
    <w:rsid w:val="00415626"/>
    <w:rsid w:val="00430770"/>
    <w:rsid w:val="00433BBD"/>
    <w:rsid w:val="004343ED"/>
    <w:rsid w:val="00444549"/>
    <w:rsid w:val="0044616C"/>
    <w:rsid w:val="00450DEC"/>
    <w:rsid w:val="004551B5"/>
    <w:rsid w:val="00455FC3"/>
    <w:rsid w:val="0046165B"/>
    <w:rsid w:val="0046342C"/>
    <w:rsid w:val="004644EE"/>
    <w:rsid w:val="00465EAE"/>
    <w:rsid w:val="00467FF5"/>
    <w:rsid w:val="0047439E"/>
    <w:rsid w:val="00474491"/>
    <w:rsid w:val="00480C8D"/>
    <w:rsid w:val="00487868"/>
    <w:rsid w:val="00487A04"/>
    <w:rsid w:val="004A41BC"/>
    <w:rsid w:val="004B2F93"/>
    <w:rsid w:val="004C2098"/>
    <w:rsid w:val="004E6FBE"/>
    <w:rsid w:val="004F29CB"/>
    <w:rsid w:val="004F795B"/>
    <w:rsid w:val="0050104E"/>
    <w:rsid w:val="00501499"/>
    <w:rsid w:val="0051368B"/>
    <w:rsid w:val="00523FDD"/>
    <w:rsid w:val="00534F0E"/>
    <w:rsid w:val="0053763E"/>
    <w:rsid w:val="00552791"/>
    <w:rsid w:val="005550B4"/>
    <w:rsid w:val="00562520"/>
    <w:rsid w:val="00563691"/>
    <w:rsid w:val="0056436A"/>
    <w:rsid w:val="00571430"/>
    <w:rsid w:val="00576CB2"/>
    <w:rsid w:val="00581DB3"/>
    <w:rsid w:val="0058363D"/>
    <w:rsid w:val="00591881"/>
    <w:rsid w:val="005B239C"/>
    <w:rsid w:val="005B4B83"/>
    <w:rsid w:val="005B7C94"/>
    <w:rsid w:val="005C00CD"/>
    <w:rsid w:val="005C35DE"/>
    <w:rsid w:val="005D56AF"/>
    <w:rsid w:val="005D702C"/>
    <w:rsid w:val="005E064F"/>
    <w:rsid w:val="005E56A7"/>
    <w:rsid w:val="005E5ED5"/>
    <w:rsid w:val="005E6D35"/>
    <w:rsid w:val="005F2827"/>
    <w:rsid w:val="005F4511"/>
    <w:rsid w:val="005F51CC"/>
    <w:rsid w:val="006007FB"/>
    <w:rsid w:val="00606436"/>
    <w:rsid w:val="00606F52"/>
    <w:rsid w:val="00612C12"/>
    <w:rsid w:val="00621407"/>
    <w:rsid w:val="006227CF"/>
    <w:rsid w:val="0062399C"/>
    <w:rsid w:val="00626FB1"/>
    <w:rsid w:val="00627F91"/>
    <w:rsid w:val="00631C3A"/>
    <w:rsid w:val="006355D9"/>
    <w:rsid w:val="00645982"/>
    <w:rsid w:val="00646945"/>
    <w:rsid w:val="0065085F"/>
    <w:rsid w:val="00650CA1"/>
    <w:rsid w:val="00652A84"/>
    <w:rsid w:val="006531DC"/>
    <w:rsid w:val="006536CD"/>
    <w:rsid w:val="0066422C"/>
    <w:rsid w:val="0067560C"/>
    <w:rsid w:val="006836AF"/>
    <w:rsid w:val="00684930"/>
    <w:rsid w:val="00687553"/>
    <w:rsid w:val="006A620F"/>
    <w:rsid w:val="006B4E7B"/>
    <w:rsid w:val="006C337C"/>
    <w:rsid w:val="006C5CEC"/>
    <w:rsid w:val="006D4BD2"/>
    <w:rsid w:val="006D6113"/>
    <w:rsid w:val="006E2E6C"/>
    <w:rsid w:val="006E3609"/>
    <w:rsid w:val="006E4044"/>
    <w:rsid w:val="006E7F6C"/>
    <w:rsid w:val="006F0385"/>
    <w:rsid w:val="00703161"/>
    <w:rsid w:val="00716215"/>
    <w:rsid w:val="00716EAE"/>
    <w:rsid w:val="00722FEB"/>
    <w:rsid w:val="0072745D"/>
    <w:rsid w:val="007310CB"/>
    <w:rsid w:val="007331E6"/>
    <w:rsid w:val="007404DF"/>
    <w:rsid w:val="00742C7D"/>
    <w:rsid w:val="00747067"/>
    <w:rsid w:val="00747600"/>
    <w:rsid w:val="00750D94"/>
    <w:rsid w:val="00751C91"/>
    <w:rsid w:val="00752B2C"/>
    <w:rsid w:val="0076775D"/>
    <w:rsid w:val="0077044A"/>
    <w:rsid w:val="007722D3"/>
    <w:rsid w:val="00780259"/>
    <w:rsid w:val="007817A8"/>
    <w:rsid w:val="007827B2"/>
    <w:rsid w:val="007867B7"/>
    <w:rsid w:val="00796DCA"/>
    <w:rsid w:val="00797540"/>
    <w:rsid w:val="00797ECB"/>
    <w:rsid w:val="007A01CC"/>
    <w:rsid w:val="007A0CFB"/>
    <w:rsid w:val="007A5064"/>
    <w:rsid w:val="007B294D"/>
    <w:rsid w:val="007B2BCB"/>
    <w:rsid w:val="007B3485"/>
    <w:rsid w:val="007B715C"/>
    <w:rsid w:val="007C00FA"/>
    <w:rsid w:val="007C6CC3"/>
    <w:rsid w:val="007D47CF"/>
    <w:rsid w:val="007D4AC5"/>
    <w:rsid w:val="007D7894"/>
    <w:rsid w:val="007E2664"/>
    <w:rsid w:val="00810832"/>
    <w:rsid w:val="00815FFE"/>
    <w:rsid w:val="00820469"/>
    <w:rsid w:val="00820FA7"/>
    <w:rsid w:val="00823555"/>
    <w:rsid w:val="00823C35"/>
    <w:rsid w:val="008246B8"/>
    <w:rsid w:val="0083111A"/>
    <w:rsid w:val="00841EC5"/>
    <w:rsid w:val="00843DA0"/>
    <w:rsid w:val="00845D17"/>
    <w:rsid w:val="00851743"/>
    <w:rsid w:val="0085189B"/>
    <w:rsid w:val="00851F7E"/>
    <w:rsid w:val="0085262E"/>
    <w:rsid w:val="00865BA1"/>
    <w:rsid w:val="008675FA"/>
    <w:rsid w:val="008700FC"/>
    <w:rsid w:val="00873BF3"/>
    <w:rsid w:val="00876228"/>
    <w:rsid w:val="00877011"/>
    <w:rsid w:val="00880BE8"/>
    <w:rsid w:val="00882429"/>
    <w:rsid w:val="00887044"/>
    <w:rsid w:val="008872B9"/>
    <w:rsid w:val="008A00D8"/>
    <w:rsid w:val="008A1097"/>
    <w:rsid w:val="008A4C71"/>
    <w:rsid w:val="008A5B1C"/>
    <w:rsid w:val="008B7B99"/>
    <w:rsid w:val="008C0640"/>
    <w:rsid w:val="008C6B3A"/>
    <w:rsid w:val="008D3F73"/>
    <w:rsid w:val="008D643F"/>
    <w:rsid w:val="008D7C77"/>
    <w:rsid w:val="008E2D8A"/>
    <w:rsid w:val="008E4C84"/>
    <w:rsid w:val="008E5765"/>
    <w:rsid w:val="008F03F7"/>
    <w:rsid w:val="008F298C"/>
    <w:rsid w:val="00903FC7"/>
    <w:rsid w:val="009064E4"/>
    <w:rsid w:val="009136BE"/>
    <w:rsid w:val="0092227D"/>
    <w:rsid w:val="009279F8"/>
    <w:rsid w:val="00936F5A"/>
    <w:rsid w:val="009447EB"/>
    <w:rsid w:val="009512D8"/>
    <w:rsid w:val="00951FDC"/>
    <w:rsid w:val="0095692E"/>
    <w:rsid w:val="00957332"/>
    <w:rsid w:val="00970571"/>
    <w:rsid w:val="009707B3"/>
    <w:rsid w:val="00970DE4"/>
    <w:rsid w:val="0097776C"/>
    <w:rsid w:val="00985175"/>
    <w:rsid w:val="00990070"/>
    <w:rsid w:val="00996EA0"/>
    <w:rsid w:val="009A2E4B"/>
    <w:rsid w:val="009A4E1F"/>
    <w:rsid w:val="009A79CB"/>
    <w:rsid w:val="009B79F5"/>
    <w:rsid w:val="009C4351"/>
    <w:rsid w:val="009D48FA"/>
    <w:rsid w:val="009D5C80"/>
    <w:rsid w:val="009E2EB8"/>
    <w:rsid w:val="009E317D"/>
    <w:rsid w:val="009E4014"/>
    <w:rsid w:val="009F454A"/>
    <w:rsid w:val="009F456B"/>
    <w:rsid w:val="009F6505"/>
    <w:rsid w:val="00A00615"/>
    <w:rsid w:val="00A059AF"/>
    <w:rsid w:val="00A169E1"/>
    <w:rsid w:val="00A210AE"/>
    <w:rsid w:val="00A23910"/>
    <w:rsid w:val="00A3088F"/>
    <w:rsid w:val="00A3096A"/>
    <w:rsid w:val="00A3132E"/>
    <w:rsid w:val="00A32841"/>
    <w:rsid w:val="00A32B46"/>
    <w:rsid w:val="00A33F09"/>
    <w:rsid w:val="00A34926"/>
    <w:rsid w:val="00A360E2"/>
    <w:rsid w:val="00A45307"/>
    <w:rsid w:val="00A464FE"/>
    <w:rsid w:val="00A50626"/>
    <w:rsid w:val="00A5494F"/>
    <w:rsid w:val="00A62B87"/>
    <w:rsid w:val="00A64E6E"/>
    <w:rsid w:val="00A6633C"/>
    <w:rsid w:val="00A67619"/>
    <w:rsid w:val="00A73DE3"/>
    <w:rsid w:val="00A7572D"/>
    <w:rsid w:val="00A77758"/>
    <w:rsid w:val="00A83D63"/>
    <w:rsid w:val="00A87E06"/>
    <w:rsid w:val="00A92C10"/>
    <w:rsid w:val="00AB48FB"/>
    <w:rsid w:val="00AB6AE8"/>
    <w:rsid w:val="00AD15F3"/>
    <w:rsid w:val="00AD3A60"/>
    <w:rsid w:val="00AE5E0B"/>
    <w:rsid w:val="00AE622E"/>
    <w:rsid w:val="00AF0DFE"/>
    <w:rsid w:val="00AF65B4"/>
    <w:rsid w:val="00B06513"/>
    <w:rsid w:val="00B13117"/>
    <w:rsid w:val="00B16598"/>
    <w:rsid w:val="00B3142A"/>
    <w:rsid w:val="00B333EA"/>
    <w:rsid w:val="00B35524"/>
    <w:rsid w:val="00B440FA"/>
    <w:rsid w:val="00B60FB4"/>
    <w:rsid w:val="00B6123F"/>
    <w:rsid w:val="00B62E53"/>
    <w:rsid w:val="00B66322"/>
    <w:rsid w:val="00B73628"/>
    <w:rsid w:val="00B74450"/>
    <w:rsid w:val="00B74983"/>
    <w:rsid w:val="00B771E1"/>
    <w:rsid w:val="00B8213D"/>
    <w:rsid w:val="00B823B8"/>
    <w:rsid w:val="00B90386"/>
    <w:rsid w:val="00B90FE8"/>
    <w:rsid w:val="00B97F35"/>
    <w:rsid w:val="00BA3F3A"/>
    <w:rsid w:val="00BA771E"/>
    <w:rsid w:val="00BB4526"/>
    <w:rsid w:val="00BC09E7"/>
    <w:rsid w:val="00BD2841"/>
    <w:rsid w:val="00BD612B"/>
    <w:rsid w:val="00BE2EB5"/>
    <w:rsid w:val="00BE3DF0"/>
    <w:rsid w:val="00BE45EE"/>
    <w:rsid w:val="00BE748D"/>
    <w:rsid w:val="00BF0C10"/>
    <w:rsid w:val="00BF262F"/>
    <w:rsid w:val="00BF7EBE"/>
    <w:rsid w:val="00C0359A"/>
    <w:rsid w:val="00C060EF"/>
    <w:rsid w:val="00C20217"/>
    <w:rsid w:val="00C23322"/>
    <w:rsid w:val="00C3262A"/>
    <w:rsid w:val="00C33F70"/>
    <w:rsid w:val="00C433FC"/>
    <w:rsid w:val="00C560D1"/>
    <w:rsid w:val="00C57BE0"/>
    <w:rsid w:val="00C62F24"/>
    <w:rsid w:val="00C63128"/>
    <w:rsid w:val="00C63B7F"/>
    <w:rsid w:val="00C669A8"/>
    <w:rsid w:val="00C74A41"/>
    <w:rsid w:val="00C760AF"/>
    <w:rsid w:val="00C76D33"/>
    <w:rsid w:val="00C809E7"/>
    <w:rsid w:val="00C83443"/>
    <w:rsid w:val="00C87CB3"/>
    <w:rsid w:val="00C9097A"/>
    <w:rsid w:val="00C93137"/>
    <w:rsid w:val="00C942A8"/>
    <w:rsid w:val="00CA04A1"/>
    <w:rsid w:val="00CA38D3"/>
    <w:rsid w:val="00CB3AFE"/>
    <w:rsid w:val="00CC2456"/>
    <w:rsid w:val="00CC41CD"/>
    <w:rsid w:val="00CC78F3"/>
    <w:rsid w:val="00CD60D7"/>
    <w:rsid w:val="00CE565A"/>
    <w:rsid w:val="00CF1E05"/>
    <w:rsid w:val="00CF2308"/>
    <w:rsid w:val="00D113B2"/>
    <w:rsid w:val="00D13029"/>
    <w:rsid w:val="00D167B6"/>
    <w:rsid w:val="00D24287"/>
    <w:rsid w:val="00D253BC"/>
    <w:rsid w:val="00D33A7A"/>
    <w:rsid w:val="00D3573A"/>
    <w:rsid w:val="00D36287"/>
    <w:rsid w:val="00D36899"/>
    <w:rsid w:val="00D43764"/>
    <w:rsid w:val="00D44E3C"/>
    <w:rsid w:val="00D45535"/>
    <w:rsid w:val="00D502F1"/>
    <w:rsid w:val="00D61DE5"/>
    <w:rsid w:val="00D63F84"/>
    <w:rsid w:val="00D645B8"/>
    <w:rsid w:val="00D66526"/>
    <w:rsid w:val="00D7157A"/>
    <w:rsid w:val="00D74474"/>
    <w:rsid w:val="00D813B9"/>
    <w:rsid w:val="00D9101D"/>
    <w:rsid w:val="00D9379A"/>
    <w:rsid w:val="00D97390"/>
    <w:rsid w:val="00DA2426"/>
    <w:rsid w:val="00DA5FDB"/>
    <w:rsid w:val="00DA72BB"/>
    <w:rsid w:val="00DB7234"/>
    <w:rsid w:val="00DC30AC"/>
    <w:rsid w:val="00DC55A5"/>
    <w:rsid w:val="00DC6DFD"/>
    <w:rsid w:val="00DC7D2E"/>
    <w:rsid w:val="00DD037F"/>
    <w:rsid w:val="00DD615F"/>
    <w:rsid w:val="00DF00DF"/>
    <w:rsid w:val="00DF2D14"/>
    <w:rsid w:val="00DF34BB"/>
    <w:rsid w:val="00E028A8"/>
    <w:rsid w:val="00E043F7"/>
    <w:rsid w:val="00E0577D"/>
    <w:rsid w:val="00E079AD"/>
    <w:rsid w:val="00E23ED4"/>
    <w:rsid w:val="00E27E58"/>
    <w:rsid w:val="00E349D2"/>
    <w:rsid w:val="00E40FD7"/>
    <w:rsid w:val="00E41B72"/>
    <w:rsid w:val="00E45C91"/>
    <w:rsid w:val="00E51E7B"/>
    <w:rsid w:val="00E5484B"/>
    <w:rsid w:val="00E61D34"/>
    <w:rsid w:val="00E676A4"/>
    <w:rsid w:val="00E73AE0"/>
    <w:rsid w:val="00E85927"/>
    <w:rsid w:val="00E87F36"/>
    <w:rsid w:val="00E92A0B"/>
    <w:rsid w:val="00EA0F33"/>
    <w:rsid w:val="00EB2E05"/>
    <w:rsid w:val="00EC1DDD"/>
    <w:rsid w:val="00EE0528"/>
    <w:rsid w:val="00EE5D7D"/>
    <w:rsid w:val="00EE7A59"/>
    <w:rsid w:val="00EF08D7"/>
    <w:rsid w:val="00EF09A2"/>
    <w:rsid w:val="00EF0E29"/>
    <w:rsid w:val="00F04644"/>
    <w:rsid w:val="00F231F9"/>
    <w:rsid w:val="00F272F1"/>
    <w:rsid w:val="00F27945"/>
    <w:rsid w:val="00F309CC"/>
    <w:rsid w:val="00F31E33"/>
    <w:rsid w:val="00F337CD"/>
    <w:rsid w:val="00F37A5E"/>
    <w:rsid w:val="00F40F90"/>
    <w:rsid w:val="00F56607"/>
    <w:rsid w:val="00F6476B"/>
    <w:rsid w:val="00F74A22"/>
    <w:rsid w:val="00F81CE8"/>
    <w:rsid w:val="00F827FB"/>
    <w:rsid w:val="00F84C49"/>
    <w:rsid w:val="00F90A0E"/>
    <w:rsid w:val="00F920F0"/>
    <w:rsid w:val="00F97BE4"/>
    <w:rsid w:val="00FA22C9"/>
    <w:rsid w:val="00FA2698"/>
    <w:rsid w:val="00FA3B24"/>
    <w:rsid w:val="00FA444F"/>
    <w:rsid w:val="00FB1B61"/>
    <w:rsid w:val="00FB4EF2"/>
    <w:rsid w:val="00FB5A2E"/>
    <w:rsid w:val="00FB70DB"/>
    <w:rsid w:val="00FB73B4"/>
    <w:rsid w:val="00FC1A97"/>
    <w:rsid w:val="00FC2C6C"/>
    <w:rsid w:val="00FC3D41"/>
    <w:rsid w:val="00FC7692"/>
    <w:rsid w:val="00FD19BD"/>
    <w:rsid w:val="00FD305F"/>
    <w:rsid w:val="00FD609B"/>
    <w:rsid w:val="00FE1878"/>
    <w:rsid w:val="00FE3537"/>
    <w:rsid w:val="00FF0DBD"/>
    <w:rsid w:val="00FF3061"/>
    <w:rsid w:val="00FF3D1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6488E569"/>
  <w15:docId w15:val="{A570040A-532D-4272-B100-38093E10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4491"/>
    <w:rPr>
      <w:rFonts w:cs="Verdan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359A"/>
    <w:pPr>
      <w:tabs>
        <w:tab w:val="center" w:pos="4536"/>
        <w:tab w:val="right" w:pos="9072"/>
      </w:tabs>
    </w:pPr>
    <w:rPr>
      <w:rFonts w:cstheme="minorBidi"/>
      <w:sz w:val="24"/>
      <w:szCs w:val="24"/>
    </w:rPr>
  </w:style>
  <w:style w:type="character" w:customStyle="1" w:styleId="KopfzeileZchn">
    <w:name w:val="Kopfzeile Zchn"/>
    <w:basedOn w:val="Absatz-Standardschriftart"/>
    <w:link w:val="Kopfzeile"/>
    <w:uiPriority w:val="99"/>
    <w:rsid w:val="00C0359A"/>
  </w:style>
  <w:style w:type="paragraph" w:styleId="Fuzeile">
    <w:name w:val="footer"/>
    <w:basedOn w:val="Standard"/>
    <w:link w:val="FuzeileZchn"/>
    <w:uiPriority w:val="99"/>
    <w:unhideWhenUsed/>
    <w:rsid w:val="00C0359A"/>
    <w:pPr>
      <w:tabs>
        <w:tab w:val="center" w:pos="4536"/>
        <w:tab w:val="right" w:pos="9072"/>
      </w:tabs>
    </w:pPr>
    <w:rPr>
      <w:rFonts w:cstheme="minorBidi"/>
      <w:sz w:val="24"/>
      <w:szCs w:val="24"/>
    </w:rPr>
  </w:style>
  <w:style w:type="character" w:customStyle="1" w:styleId="FuzeileZchn">
    <w:name w:val="Fußzeile Zchn"/>
    <w:basedOn w:val="Absatz-Standardschriftart"/>
    <w:link w:val="Fuzeile"/>
    <w:uiPriority w:val="99"/>
    <w:rsid w:val="00C0359A"/>
  </w:style>
  <w:style w:type="paragraph" w:styleId="KeinLeerraum">
    <w:name w:val="No Spacing"/>
    <w:uiPriority w:val="1"/>
    <w:qFormat/>
    <w:rsid w:val="003F4A7F"/>
    <w:rPr>
      <w:rFonts w:ascii="Calibri" w:eastAsia="Calibri" w:hAnsi="Calibri"/>
      <w:sz w:val="22"/>
      <w:szCs w:val="22"/>
    </w:rPr>
  </w:style>
  <w:style w:type="paragraph" w:styleId="Listenabsatz">
    <w:name w:val="List Paragraph"/>
    <w:basedOn w:val="Standard"/>
    <w:uiPriority w:val="34"/>
    <w:qFormat/>
    <w:rsid w:val="00985175"/>
    <w:pPr>
      <w:ind w:left="720"/>
      <w:contextualSpacing/>
    </w:pPr>
  </w:style>
  <w:style w:type="paragraph" w:styleId="Sprechblasentext">
    <w:name w:val="Balloon Text"/>
    <w:basedOn w:val="Standard"/>
    <w:link w:val="SprechblasentextZchn"/>
    <w:uiPriority w:val="99"/>
    <w:semiHidden/>
    <w:unhideWhenUsed/>
    <w:rsid w:val="00C942A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942A8"/>
    <w:rPr>
      <w:rFonts w:ascii="Segoe UI" w:hAnsi="Segoe UI" w:cs="Segoe UI"/>
      <w:sz w:val="18"/>
      <w:szCs w:val="18"/>
    </w:rPr>
  </w:style>
  <w:style w:type="character" w:styleId="Kommentarzeichen">
    <w:name w:val="annotation reference"/>
    <w:basedOn w:val="Absatz-Standardschriftart"/>
    <w:uiPriority w:val="99"/>
    <w:semiHidden/>
    <w:unhideWhenUsed/>
    <w:rsid w:val="009F456B"/>
    <w:rPr>
      <w:sz w:val="16"/>
      <w:szCs w:val="16"/>
    </w:rPr>
  </w:style>
  <w:style w:type="paragraph" w:styleId="Kommentartext">
    <w:name w:val="annotation text"/>
    <w:basedOn w:val="Standard"/>
    <w:link w:val="KommentartextZchn"/>
    <w:uiPriority w:val="99"/>
    <w:semiHidden/>
    <w:unhideWhenUsed/>
    <w:rsid w:val="009F456B"/>
    <w:rPr>
      <w:sz w:val="20"/>
      <w:szCs w:val="20"/>
    </w:rPr>
  </w:style>
  <w:style w:type="character" w:customStyle="1" w:styleId="KommentartextZchn">
    <w:name w:val="Kommentartext Zchn"/>
    <w:basedOn w:val="Absatz-Standardschriftart"/>
    <w:link w:val="Kommentartext"/>
    <w:uiPriority w:val="99"/>
    <w:semiHidden/>
    <w:rsid w:val="009F456B"/>
    <w:rPr>
      <w:rFonts w:cs="Verdana"/>
      <w:sz w:val="20"/>
      <w:szCs w:val="20"/>
    </w:rPr>
  </w:style>
  <w:style w:type="paragraph" w:styleId="Kommentarthema">
    <w:name w:val="annotation subject"/>
    <w:basedOn w:val="Kommentartext"/>
    <w:next w:val="Kommentartext"/>
    <w:link w:val="KommentarthemaZchn"/>
    <w:uiPriority w:val="99"/>
    <w:semiHidden/>
    <w:unhideWhenUsed/>
    <w:rsid w:val="009F456B"/>
    <w:rPr>
      <w:b/>
      <w:bCs/>
    </w:rPr>
  </w:style>
  <w:style w:type="character" w:customStyle="1" w:styleId="KommentarthemaZchn">
    <w:name w:val="Kommentarthema Zchn"/>
    <w:basedOn w:val="KommentartextZchn"/>
    <w:link w:val="Kommentarthema"/>
    <w:uiPriority w:val="99"/>
    <w:semiHidden/>
    <w:rsid w:val="009F456B"/>
    <w:rPr>
      <w:rFonts w:cs="Verdana"/>
      <w:b/>
      <w:bCs/>
      <w:sz w:val="20"/>
      <w:szCs w:val="20"/>
    </w:rPr>
  </w:style>
  <w:style w:type="paragraph" w:styleId="StandardWeb">
    <w:name w:val="Normal (Web)"/>
    <w:basedOn w:val="Standard"/>
    <w:uiPriority w:val="99"/>
    <w:semiHidden/>
    <w:unhideWhenUsed/>
    <w:rsid w:val="003A482E"/>
    <w:pPr>
      <w:spacing w:before="100" w:beforeAutospacing="1" w:after="100" w:afterAutospacing="1"/>
    </w:pPr>
    <w:rPr>
      <w:rFonts w:ascii="Times New Roman" w:eastAsia="Times New Roman" w:hAnsi="Times New Roman" w:cs="Times New Roman"/>
      <w:sz w:val="24"/>
      <w:szCs w:val="24"/>
      <w:lang w:val="de-DE" w:eastAsia="de-DE"/>
    </w:rPr>
  </w:style>
  <w:style w:type="paragraph" w:styleId="berarbeitung">
    <w:name w:val="Revision"/>
    <w:hidden/>
    <w:uiPriority w:val="99"/>
    <w:semiHidden/>
    <w:rsid w:val="00F97BE4"/>
    <w:rPr>
      <w:rFonts w:cs="Verdana"/>
      <w:sz w:val="22"/>
      <w:szCs w:val="22"/>
    </w:rPr>
  </w:style>
  <w:style w:type="character" w:styleId="Hyperlink">
    <w:name w:val="Hyperlink"/>
    <w:basedOn w:val="Absatz-Standardschriftart"/>
    <w:uiPriority w:val="99"/>
    <w:semiHidden/>
    <w:unhideWhenUsed/>
    <w:rsid w:val="004743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5086">
      <w:bodyDiv w:val="1"/>
      <w:marLeft w:val="0"/>
      <w:marRight w:val="0"/>
      <w:marTop w:val="0"/>
      <w:marBottom w:val="0"/>
      <w:divBdr>
        <w:top w:val="none" w:sz="0" w:space="0" w:color="auto"/>
        <w:left w:val="none" w:sz="0" w:space="0" w:color="auto"/>
        <w:bottom w:val="none" w:sz="0" w:space="0" w:color="auto"/>
        <w:right w:val="none" w:sz="0" w:space="0" w:color="auto"/>
      </w:divBdr>
    </w:div>
    <w:div w:id="510266315">
      <w:bodyDiv w:val="1"/>
      <w:marLeft w:val="0"/>
      <w:marRight w:val="0"/>
      <w:marTop w:val="0"/>
      <w:marBottom w:val="0"/>
      <w:divBdr>
        <w:top w:val="none" w:sz="0" w:space="0" w:color="auto"/>
        <w:left w:val="none" w:sz="0" w:space="0" w:color="auto"/>
        <w:bottom w:val="none" w:sz="0" w:space="0" w:color="auto"/>
        <w:right w:val="none" w:sz="0" w:space="0" w:color="auto"/>
      </w:divBdr>
    </w:div>
    <w:div w:id="1514758488">
      <w:bodyDiv w:val="1"/>
      <w:marLeft w:val="0"/>
      <w:marRight w:val="0"/>
      <w:marTop w:val="0"/>
      <w:marBottom w:val="0"/>
      <w:divBdr>
        <w:top w:val="none" w:sz="0" w:space="0" w:color="auto"/>
        <w:left w:val="none" w:sz="0" w:space="0" w:color="auto"/>
        <w:bottom w:val="none" w:sz="0" w:space="0" w:color="auto"/>
        <w:right w:val="none" w:sz="0" w:space="0" w:color="auto"/>
      </w:divBdr>
      <w:divsChild>
        <w:div w:id="5598999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5" Type="http://schemas.openxmlformats.org/officeDocument/2006/relationships/image" Target="media/image7.emf"/><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emf"/><Relationship Id="rId5" Type="http://schemas.openxmlformats.org/officeDocument/2006/relationships/image" Target="media/image7.emf"/><Relationship Id="rId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scha\Dropbox\2017%20pressGATE\DMG%20MORI%20Vorlagen\PM%20Vorlage%20UK%202017.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ＭＳ ゴシック"/>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50E38-6061-40CF-93DF-B90A87B85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UK 2017.dotx</Template>
  <TotalTime>0</TotalTime>
  <Pages>2</Pages>
  <Words>416</Words>
  <Characters>2626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Sascha D.</dc:creator>
  <cp:keywords/>
  <dc:description/>
  <cp:lastModifiedBy>Manzenreiter Eva</cp:lastModifiedBy>
  <cp:revision>5</cp:revision>
  <cp:lastPrinted>2020-09-29T12:01:00Z</cp:lastPrinted>
  <dcterms:created xsi:type="dcterms:W3CDTF">2022-08-26T09:50:00Z</dcterms:created>
  <dcterms:modified xsi:type="dcterms:W3CDTF">2022-09-06T12:31:00Z</dcterms:modified>
</cp:coreProperties>
</file>